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29CD" w14:textId="77777777" w:rsidR="00C17DA0" w:rsidRPr="00454FB4" w:rsidRDefault="00C17DA0" w:rsidP="00D30F71">
      <w:pPr>
        <w:pStyle w:val="Body"/>
        <w:rPr>
          <w:b/>
          <w:color w:val="auto"/>
          <w:sz w:val="16"/>
          <w:szCs w:val="16"/>
        </w:rPr>
      </w:pPr>
    </w:p>
    <w:p w14:paraId="4DC85991" w14:textId="5971EB52" w:rsidR="00CC2BD9" w:rsidRPr="00317EBC" w:rsidRDefault="0054122E" w:rsidP="00601A84">
      <w:pPr>
        <w:pStyle w:val="Body"/>
        <w:jc w:val="center"/>
        <w:rPr>
          <w:b/>
          <w:color w:val="auto"/>
          <w:sz w:val="32"/>
          <w:szCs w:val="36"/>
        </w:rPr>
      </w:pPr>
      <w:r>
        <w:rPr>
          <w:b/>
          <w:color w:val="auto"/>
          <w:sz w:val="32"/>
          <w:szCs w:val="36"/>
        </w:rPr>
        <w:t>2022</w:t>
      </w:r>
      <w:r w:rsidR="008C43DE">
        <w:rPr>
          <w:b/>
          <w:color w:val="auto"/>
          <w:sz w:val="32"/>
          <w:szCs w:val="36"/>
        </w:rPr>
        <w:t>–</w:t>
      </w:r>
      <w:r>
        <w:rPr>
          <w:b/>
          <w:color w:val="auto"/>
          <w:sz w:val="32"/>
          <w:szCs w:val="36"/>
        </w:rPr>
        <w:t xml:space="preserve">23 </w:t>
      </w:r>
      <w:r w:rsidR="00601A84" w:rsidRPr="00317EBC">
        <w:rPr>
          <w:b/>
          <w:color w:val="auto"/>
          <w:sz w:val="32"/>
          <w:szCs w:val="36"/>
        </w:rPr>
        <w:t xml:space="preserve">Texas </w:t>
      </w:r>
      <w:r>
        <w:rPr>
          <w:b/>
          <w:color w:val="auto"/>
          <w:sz w:val="32"/>
          <w:szCs w:val="36"/>
        </w:rPr>
        <w:t>Budget</w:t>
      </w:r>
      <w:r w:rsidR="009E10B8" w:rsidRPr="00317EBC">
        <w:rPr>
          <w:b/>
          <w:color w:val="auto"/>
          <w:sz w:val="32"/>
          <w:szCs w:val="36"/>
        </w:rPr>
        <w:t xml:space="preserve"> </w:t>
      </w:r>
      <w:r w:rsidR="002541F0">
        <w:rPr>
          <w:b/>
          <w:color w:val="auto"/>
          <w:sz w:val="32"/>
          <w:szCs w:val="36"/>
        </w:rPr>
        <w:t>Below</w:t>
      </w:r>
      <w:r>
        <w:rPr>
          <w:b/>
          <w:color w:val="auto"/>
          <w:sz w:val="32"/>
          <w:szCs w:val="36"/>
        </w:rPr>
        <w:t xml:space="preserve"> </w:t>
      </w:r>
      <w:r w:rsidR="00601A84" w:rsidRPr="00317EBC">
        <w:rPr>
          <w:b/>
          <w:color w:val="auto"/>
          <w:sz w:val="32"/>
          <w:szCs w:val="36"/>
        </w:rPr>
        <w:t xml:space="preserve">TPPF’s </w:t>
      </w:r>
      <w:r w:rsidR="00B716FF" w:rsidRPr="00317EBC">
        <w:rPr>
          <w:b/>
          <w:color w:val="auto"/>
          <w:sz w:val="32"/>
          <w:szCs w:val="36"/>
        </w:rPr>
        <w:t xml:space="preserve">Conservative Texas Budget </w:t>
      </w:r>
    </w:p>
    <w:p w14:paraId="338412E4" w14:textId="77777777" w:rsidR="002541F0" w:rsidRDefault="002541F0" w:rsidP="00832027">
      <w:pPr>
        <w:pStyle w:val="Body"/>
        <w:rPr>
          <w:b/>
          <w:color w:val="auto"/>
          <w:sz w:val="20"/>
          <w:szCs w:val="24"/>
        </w:rPr>
      </w:pPr>
    </w:p>
    <w:p w14:paraId="185A4520" w14:textId="12AD9D95" w:rsidR="00832027" w:rsidRDefault="00832027" w:rsidP="00832027">
      <w:pPr>
        <w:pStyle w:val="Body"/>
        <w:ind w:firstLine="720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0"/>
          <w:szCs w:val="24"/>
        </w:rPr>
        <w:t xml:space="preserve">             </w:t>
      </w:r>
      <w:r w:rsidR="00601A84" w:rsidRPr="00832027">
        <w:rPr>
          <w:b/>
          <w:bCs/>
          <w:color w:val="auto"/>
          <w:sz w:val="26"/>
          <w:szCs w:val="26"/>
        </w:rPr>
        <w:t xml:space="preserve">TPPF </w:t>
      </w:r>
      <w:r w:rsidR="00F2002E" w:rsidRPr="00832027">
        <w:rPr>
          <w:b/>
          <w:bCs/>
          <w:color w:val="auto"/>
          <w:sz w:val="26"/>
          <w:szCs w:val="26"/>
        </w:rPr>
        <w:t>Conservative Texas Budget: $</w:t>
      </w:r>
      <w:r w:rsidR="00BF1D57" w:rsidRPr="00832027">
        <w:rPr>
          <w:b/>
          <w:bCs/>
          <w:color w:val="auto"/>
          <w:sz w:val="26"/>
          <w:szCs w:val="26"/>
        </w:rPr>
        <w:t>246.8</w:t>
      </w:r>
      <w:r w:rsidR="00F2002E" w:rsidRPr="00832027">
        <w:rPr>
          <w:b/>
          <w:bCs/>
          <w:color w:val="auto"/>
          <w:sz w:val="26"/>
          <w:szCs w:val="26"/>
        </w:rPr>
        <w:t xml:space="preserve"> Billion</w:t>
      </w:r>
    </w:p>
    <w:p w14:paraId="0A418768" w14:textId="7355DECA" w:rsidR="00EB1B65" w:rsidRDefault="00317EBC" w:rsidP="00832027">
      <w:pPr>
        <w:pStyle w:val="Body"/>
        <w:ind w:left="2880" w:firstLine="720"/>
        <w:rPr>
          <w:b/>
          <w:bCs/>
          <w:color w:val="auto"/>
          <w:sz w:val="26"/>
          <w:szCs w:val="26"/>
        </w:rPr>
      </w:pPr>
      <w:r w:rsidRPr="00832027">
        <w:rPr>
          <w:b/>
          <w:bCs/>
          <w:color w:val="auto"/>
          <w:sz w:val="26"/>
          <w:szCs w:val="26"/>
        </w:rPr>
        <w:t>Texas Budget: $24</w:t>
      </w:r>
      <w:r w:rsidR="00DD5864" w:rsidRPr="00832027">
        <w:rPr>
          <w:b/>
          <w:bCs/>
          <w:color w:val="auto"/>
          <w:sz w:val="26"/>
          <w:szCs w:val="26"/>
        </w:rPr>
        <w:t>5.</w:t>
      </w:r>
      <w:r w:rsidR="004C4400">
        <w:rPr>
          <w:b/>
          <w:bCs/>
          <w:color w:val="auto"/>
          <w:sz w:val="26"/>
          <w:szCs w:val="26"/>
        </w:rPr>
        <w:t>3</w:t>
      </w:r>
      <w:r w:rsidRPr="00832027">
        <w:rPr>
          <w:b/>
          <w:bCs/>
          <w:color w:val="auto"/>
          <w:sz w:val="26"/>
          <w:szCs w:val="26"/>
        </w:rPr>
        <w:t xml:space="preserve"> Billio</w:t>
      </w:r>
      <w:r w:rsidR="00832027">
        <w:rPr>
          <w:b/>
          <w:bCs/>
          <w:color w:val="auto"/>
          <w:sz w:val="26"/>
          <w:szCs w:val="26"/>
        </w:rPr>
        <w:t>n</w:t>
      </w:r>
    </w:p>
    <w:p w14:paraId="24857775" w14:textId="77777777" w:rsidR="00832027" w:rsidRPr="00832027" w:rsidRDefault="00832027" w:rsidP="00832027">
      <w:pPr>
        <w:pStyle w:val="Body"/>
        <w:ind w:left="2880" w:firstLine="720"/>
        <w:rPr>
          <w:b/>
          <w:bCs/>
          <w:color w:val="auto"/>
          <w:sz w:val="26"/>
          <w:szCs w:val="26"/>
        </w:rPr>
      </w:pPr>
    </w:p>
    <w:tbl>
      <w:tblPr>
        <w:tblStyle w:val="GridTable4-Accent1"/>
        <w:tblW w:w="0" w:type="auto"/>
        <w:jc w:val="center"/>
        <w:tblBorders>
          <w:top w:val="single" w:sz="18" w:space="0" w:color="072B62" w:themeColor="background2" w:themeShade="40"/>
          <w:left w:val="single" w:sz="18" w:space="0" w:color="072B62" w:themeColor="background2" w:themeShade="40"/>
          <w:bottom w:val="single" w:sz="18" w:space="0" w:color="072B62" w:themeColor="background2" w:themeShade="40"/>
          <w:right w:val="single" w:sz="18" w:space="0" w:color="072B62" w:themeColor="background2" w:themeShade="40"/>
          <w:insideH w:val="single" w:sz="18" w:space="0" w:color="072B62" w:themeColor="background2" w:themeShade="40"/>
          <w:insideV w:val="single" w:sz="18" w:space="0" w:color="072B62" w:themeColor="background2" w:themeShade="40"/>
        </w:tblBorders>
        <w:tblLayout w:type="fixed"/>
        <w:tblLook w:val="05A0" w:firstRow="1" w:lastRow="0" w:firstColumn="1" w:lastColumn="1" w:noHBand="0" w:noVBand="1"/>
      </w:tblPr>
      <w:tblGrid>
        <w:gridCol w:w="1749"/>
        <w:gridCol w:w="1658"/>
        <w:gridCol w:w="1622"/>
        <w:gridCol w:w="1693"/>
        <w:gridCol w:w="1495"/>
      </w:tblGrid>
      <w:tr w:rsidR="002763D2" w:rsidRPr="000D2331" w14:paraId="3044055E" w14:textId="77777777" w:rsidTr="005D6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 w:val="restart"/>
            <w:shd w:val="clear" w:color="auto" w:fill="374C80" w:themeFill="accent1" w:themeFillShade="BF"/>
            <w:vAlign w:val="center"/>
            <w:hideMark/>
          </w:tcPr>
          <w:p w14:paraId="7ABC63EC" w14:textId="77777777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sz w:val="20"/>
                <w:szCs w:val="20"/>
              </w:rPr>
              <w:t xml:space="preserve">Type        </w:t>
            </w:r>
            <w:proofErr w:type="gramStart"/>
            <w:r w:rsidRPr="000D2331">
              <w:rPr>
                <w:rFonts w:ascii="Calibri" w:eastAsia="Times New Roman" w:hAnsi="Calibri" w:cs="Calibri"/>
                <w:sz w:val="20"/>
                <w:szCs w:val="20"/>
              </w:rPr>
              <w:t xml:space="preserve">   (</w:t>
            </w:r>
            <w:proofErr w:type="gramEnd"/>
            <w:r w:rsidRPr="000D2331">
              <w:rPr>
                <w:rFonts w:ascii="Calibri" w:eastAsia="Times New Roman" w:hAnsi="Calibri" w:cs="Calibri"/>
                <w:sz w:val="20"/>
                <w:szCs w:val="20"/>
              </w:rPr>
              <w:t>Millions)</w:t>
            </w:r>
          </w:p>
        </w:tc>
        <w:tc>
          <w:tcPr>
            <w:tcW w:w="1658" w:type="dxa"/>
            <w:vMerge w:val="restart"/>
            <w:shd w:val="clear" w:color="auto" w:fill="374C80" w:themeFill="accent1" w:themeFillShade="BF"/>
            <w:vAlign w:val="center"/>
            <w:hideMark/>
          </w:tcPr>
          <w:p w14:paraId="2852462D" w14:textId="696EFFD1" w:rsidR="002763D2" w:rsidRPr="000D2331" w:rsidRDefault="002763D2" w:rsidP="00D30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sz w:val="20"/>
                <w:szCs w:val="20"/>
              </w:rPr>
              <w:t>2020-21 Appropriatio</w:t>
            </w:r>
            <w:r w:rsidR="00454FB4" w:rsidRPr="000D2331">
              <w:rPr>
                <w:rFonts w:ascii="Calibri" w:eastAsia="Times New Roman" w:hAnsi="Calibri" w:cs="Calibri"/>
                <w:sz w:val="20"/>
                <w:szCs w:val="20"/>
              </w:rPr>
              <w:t>ns</w:t>
            </w:r>
          </w:p>
        </w:tc>
        <w:tc>
          <w:tcPr>
            <w:tcW w:w="1622" w:type="dxa"/>
            <w:vMerge w:val="restart"/>
            <w:shd w:val="clear" w:color="auto" w:fill="374C80" w:themeFill="accent1" w:themeFillShade="BF"/>
            <w:vAlign w:val="center"/>
            <w:hideMark/>
          </w:tcPr>
          <w:p w14:paraId="3962CF07" w14:textId="3E71B968" w:rsidR="002763D2" w:rsidRPr="000D2331" w:rsidRDefault="002763D2" w:rsidP="00D30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  <w:p w14:paraId="7A14B097" w14:textId="4CE37928" w:rsidR="002763D2" w:rsidRPr="000D2331" w:rsidRDefault="002763D2" w:rsidP="00D30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sz w:val="20"/>
                <w:szCs w:val="20"/>
              </w:rPr>
              <w:t>Appropriations</w:t>
            </w:r>
          </w:p>
        </w:tc>
        <w:tc>
          <w:tcPr>
            <w:tcW w:w="1693" w:type="dxa"/>
            <w:vMerge w:val="restart"/>
            <w:shd w:val="clear" w:color="auto" w:fill="374C80" w:themeFill="accent1" w:themeFillShade="BF"/>
            <w:vAlign w:val="center"/>
            <w:hideMark/>
          </w:tcPr>
          <w:p w14:paraId="06C78047" w14:textId="3D30D4CE" w:rsidR="002763D2" w:rsidRPr="000D2331" w:rsidRDefault="002763D2" w:rsidP="00D30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sz w:val="20"/>
                <w:szCs w:val="20"/>
              </w:rPr>
              <w:t>2022-23 TPPF Conservative Texas Budget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vMerge w:val="restart"/>
            <w:shd w:val="clear" w:color="auto" w:fill="374C80" w:themeFill="accent1" w:themeFillShade="BF"/>
            <w:vAlign w:val="center"/>
            <w:hideMark/>
          </w:tcPr>
          <w:p w14:paraId="0634BD04" w14:textId="4724FBFF" w:rsidR="002763D2" w:rsidRPr="000D2331" w:rsidRDefault="00832027" w:rsidP="00D3059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  <w:r w:rsidR="00454FB4" w:rsidRPr="000D2331">
              <w:rPr>
                <w:rFonts w:ascii="Calibri" w:eastAsia="Times New Roman" w:hAnsi="Calibri" w:cs="Calibri"/>
                <w:sz w:val="20"/>
                <w:szCs w:val="20"/>
              </w:rPr>
              <w:t xml:space="preserve"> Budget</w:t>
            </w:r>
            <w:r w:rsidR="002763D2" w:rsidRPr="000D2331">
              <w:rPr>
                <w:rFonts w:ascii="Calibri" w:eastAsia="Times New Roman" w:hAnsi="Calibri" w:cs="Calibri"/>
                <w:sz w:val="20"/>
                <w:szCs w:val="20"/>
              </w:rPr>
              <w:t xml:space="preserve"> v. CTB</w:t>
            </w:r>
          </w:p>
        </w:tc>
      </w:tr>
      <w:tr w:rsidR="002763D2" w:rsidRPr="000D2331" w14:paraId="75EB43D1" w14:textId="77777777" w:rsidTr="005D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374C80" w:themeFill="accent1" w:themeFillShade="BF"/>
            <w:vAlign w:val="center"/>
            <w:hideMark/>
          </w:tcPr>
          <w:p w14:paraId="3C8EA27E" w14:textId="77777777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374C80" w:themeFill="accent1" w:themeFillShade="BF"/>
            <w:vAlign w:val="center"/>
            <w:hideMark/>
          </w:tcPr>
          <w:p w14:paraId="46FC9038" w14:textId="77777777" w:rsidR="002763D2" w:rsidRPr="000D2331" w:rsidRDefault="002763D2" w:rsidP="00D30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374C80" w:themeFill="accent1" w:themeFillShade="BF"/>
            <w:vAlign w:val="center"/>
            <w:hideMark/>
          </w:tcPr>
          <w:p w14:paraId="39F02604" w14:textId="77777777" w:rsidR="002763D2" w:rsidRPr="000D2331" w:rsidRDefault="002763D2" w:rsidP="00D30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374C80" w:themeFill="accent1" w:themeFillShade="BF"/>
            <w:vAlign w:val="center"/>
            <w:hideMark/>
          </w:tcPr>
          <w:p w14:paraId="4CEF4111" w14:textId="77777777" w:rsidR="002763D2" w:rsidRPr="000D2331" w:rsidRDefault="002763D2" w:rsidP="00D30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vMerge/>
            <w:shd w:val="clear" w:color="auto" w:fill="374C80" w:themeFill="accent1" w:themeFillShade="BF"/>
            <w:vAlign w:val="center"/>
            <w:hideMark/>
          </w:tcPr>
          <w:p w14:paraId="4404F217" w14:textId="77777777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63D2" w:rsidRPr="000D2331" w14:paraId="54DF4CF7" w14:textId="77777777" w:rsidTr="005D660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E8E9E8"/>
            <w:noWrap/>
            <w:vAlign w:val="center"/>
            <w:hideMark/>
          </w:tcPr>
          <w:p w14:paraId="5D95B2B8" w14:textId="087A3FAD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206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G</w:t>
            </w:r>
            <w:r w:rsidR="003D62C9" w:rsidRPr="000D2331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eneral Revenue</w:t>
            </w:r>
          </w:p>
        </w:tc>
        <w:tc>
          <w:tcPr>
            <w:tcW w:w="1658" w:type="dxa"/>
            <w:shd w:val="clear" w:color="auto" w:fill="E8E9E8"/>
            <w:vAlign w:val="center"/>
            <w:hideMark/>
          </w:tcPr>
          <w:p w14:paraId="52F6182E" w14:textId="05173E9F" w:rsidR="002763D2" w:rsidRPr="000D2331" w:rsidRDefault="002763D2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$113,333.5</w:t>
            </w:r>
          </w:p>
        </w:tc>
        <w:tc>
          <w:tcPr>
            <w:tcW w:w="1622" w:type="dxa"/>
            <w:shd w:val="clear" w:color="auto" w:fill="E8E9E8"/>
            <w:vAlign w:val="center"/>
            <w:hideMark/>
          </w:tcPr>
          <w:p w14:paraId="1CDCD518" w14:textId="528BA07E" w:rsidR="002763D2" w:rsidRPr="000D2331" w:rsidRDefault="002763D2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$1</w:t>
            </w:r>
            <w:r w:rsidR="00DD586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1</w:t>
            </w:r>
            <w:r w:rsidR="004C440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2,954.1</w:t>
            </w:r>
          </w:p>
        </w:tc>
        <w:tc>
          <w:tcPr>
            <w:tcW w:w="1693" w:type="dxa"/>
            <w:shd w:val="clear" w:color="auto" w:fill="E8E9E8"/>
            <w:vAlign w:val="center"/>
            <w:hideMark/>
          </w:tcPr>
          <w:p w14:paraId="5EE7A912" w14:textId="24051D9F" w:rsidR="002763D2" w:rsidRPr="000D2331" w:rsidRDefault="002763D2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shd w:val="clear" w:color="auto" w:fill="E8E9E8"/>
            <w:vAlign w:val="center"/>
            <w:hideMark/>
          </w:tcPr>
          <w:p w14:paraId="65C6B325" w14:textId="1A3E275F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2060"/>
                <w:sz w:val="20"/>
                <w:szCs w:val="20"/>
              </w:rPr>
            </w:pPr>
          </w:p>
        </w:tc>
      </w:tr>
      <w:tr w:rsidR="002763D2" w:rsidRPr="000D2331" w14:paraId="64BF20C1" w14:textId="77777777" w:rsidTr="005D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uto"/>
            <w:noWrap/>
            <w:vAlign w:val="center"/>
            <w:hideMark/>
          </w:tcPr>
          <w:p w14:paraId="15987839" w14:textId="231448AB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GR-D</w:t>
            </w:r>
            <w:r w:rsidR="003D62C9" w:rsidRPr="000D233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edicated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1548EA0B" w14:textId="41D24645" w:rsidR="002763D2" w:rsidRPr="000D2331" w:rsidRDefault="003D62C9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2763D2"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6,165.8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11A07CE" w14:textId="478F7B5C" w:rsidR="002763D2" w:rsidRPr="000D2331" w:rsidRDefault="003D62C9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2763D2"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</w:t>
            </w:r>
            <w:r w:rsidR="00DD58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  <w:r w:rsidR="004C44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14:paraId="4EAA2840" w14:textId="26F29714" w:rsidR="002763D2" w:rsidRPr="000D2331" w:rsidRDefault="002763D2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shd w:val="clear" w:color="auto" w:fill="auto"/>
            <w:vAlign w:val="center"/>
            <w:hideMark/>
          </w:tcPr>
          <w:p w14:paraId="03E204BA" w14:textId="1BC95D5C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763D2" w:rsidRPr="000D2331" w14:paraId="34D5235B" w14:textId="77777777" w:rsidTr="005D660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noWrap/>
            <w:vAlign w:val="center"/>
            <w:hideMark/>
          </w:tcPr>
          <w:p w14:paraId="13586A4D" w14:textId="3514F0EB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Other</w:t>
            </w:r>
            <w:r w:rsidR="003D62C9" w:rsidRPr="000D233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Funds</w:t>
            </w:r>
          </w:p>
        </w:tc>
        <w:tc>
          <w:tcPr>
            <w:tcW w:w="1658" w:type="dxa"/>
            <w:vAlign w:val="center"/>
            <w:hideMark/>
          </w:tcPr>
          <w:p w14:paraId="41F2CBD0" w14:textId="3ADEA5CD" w:rsidR="002763D2" w:rsidRPr="000D2331" w:rsidRDefault="003D62C9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2763D2"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36,744.8</w:t>
            </w:r>
          </w:p>
        </w:tc>
        <w:tc>
          <w:tcPr>
            <w:tcW w:w="1622" w:type="dxa"/>
            <w:vAlign w:val="center"/>
            <w:hideMark/>
          </w:tcPr>
          <w:p w14:paraId="7DF4051F" w14:textId="5A7F0A79" w:rsidR="002763D2" w:rsidRPr="000D2331" w:rsidRDefault="003D62C9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2763D2"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4C44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0,799.1</w:t>
            </w:r>
          </w:p>
        </w:tc>
        <w:tc>
          <w:tcPr>
            <w:tcW w:w="1693" w:type="dxa"/>
            <w:vAlign w:val="center"/>
            <w:hideMark/>
          </w:tcPr>
          <w:p w14:paraId="1575824E" w14:textId="4CAC3516" w:rsidR="002763D2" w:rsidRPr="000D2331" w:rsidRDefault="002763D2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vAlign w:val="center"/>
            <w:hideMark/>
          </w:tcPr>
          <w:p w14:paraId="2CC5A5E8" w14:textId="357D3AF5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763D2" w:rsidRPr="000D2331" w14:paraId="58AA0BC4" w14:textId="77777777" w:rsidTr="005D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E8E9E8"/>
            <w:noWrap/>
            <w:vAlign w:val="center"/>
            <w:hideMark/>
          </w:tcPr>
          <w:p w14:paraId="6FBA27C2" w14:textId="62C30737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206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State</w:t>
            </w:r>
            <w:r w:rsidR="003D62C9" w:rsidRPr="000D2331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 Funds</w:t>
            </w:r>
            <w:r w:rsidRPr="000D2331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 Total</w:t>
            </w:r>
          </w:p>
        </w:tc>
        <w:tc>
          <w:tcPr>
            <w:tcW w:w="1658" w:type="dxa"/>
            <w:shd w:val="clear" w:color="auto" w:fill="E8E9E8"/>
            <w:vAlign w:val="center"/>
            <w:hideMark/>
          </w:tcPr>
          <w:p w14:paraId="5394252D" w14:textId="204BAA90" w:rsidR="002763D2" w:rsidRPr="000D2331" w:rsidRDefault="002763D2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$156,244.1</w:t>
            </w:r>
          </w:p>
        </w:tc>
        <w:tc>
          <w:tcPr>
            <w:tcW w:w="1622" w:type="dxa"/>
            <w:shd w:val="clear" w:color="auto" w:fill="E8E9E8"/>
            <w:vAlign w:val="center"/>
            <w:hideMark/>
          </w:tcPr>
          <w:p w14:paraId="75A32E3E" w14:textId="7CE35319" w:rsidR="002763D2" w:rsidRPr="000D2331" w:rsidRDefault="002763D2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$1</w:t>
            </w:r>
            <w:r w:rsidR="004C440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60,073.1</w:t>
            </w:r>
          </w:p>
        </w:tc>
        <w:tc>
          <w:tcPr>
            <w:tcW w:w="1693" w:type="dxa"/>
            <w:shd w:val="clear" w:color="auto" w:fill="E8E9E8"/>
            <w:vAlign w:val="center"/>
            <w:hideMark/>
          </w:tcPr>
          <w:p w14:paraId="1031EDD9" w14:textId="3A9C6EB4" w:rsidR="002763D2" w:rsidRPr="000D2331" w:rsidRDefault="002763D2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$164,100.0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shd w:val="clear" w:color="auto" w:fill="E8E9E8"/>
            <w:vAlign w:val="center"/>
            <w:hideMark/>
          </w:tcPr>
          <w:p w14:paraId="17191457" w14:textId="5B89F40D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8A1F32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8A1F32"/>
                <w:sz w:val="20"/>
                <w:szCs w:val="20"/>
              </w:rPr>
              <w:t>-$</w:t>
            </w:r>
            <w:r w:rsidR="004C4400">
              <w:rPr>
                <w:rFonts w:ascii="Calibri" w:eastAsia="Times New Roman" w:hAnsi="Calibri" w:cs="Calibri"/>
                <w:color w:val="8A1F32"/>
                <w:sz w:val="20"/>
                <w:szCs w:val="20"/>
              </w:rPr>
              <w:t>4,026.9</w:t>
            </w:r>
          </w:p>
        </w:tc>
      </w:tr>
      <w:tr w:rsidR="002763D2" w:rsidRPr="000D2331" w14:paraId="553D9DDB" w14:textId="77777777" w:rsidTr="005D660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noWrap/>
            <w:vAlign w:val="center"/>
            <w:hideMark/>
          </w:tcPr>
          <w:p w14:paraId="0E923426" w14:textId="58132B37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Federal</w:t>
            </w:r>
            <w:r w:rsidR="003D62C9" w:rsidRPr="000D233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Funds</w:t>
            </w:r>
          </w:p>
        </w:tc>
        <w:tc>
          <w:tcPr>
            <w:tcW w:w="1658" w:type="dxa"/>
            <w:vAlign w:val="center"/>
            <w:hideMark/>
          </w:tcPr>
          <w:p w14:paraId="19E75665" w14:textId="0A8B700F" w:rsidR="002763D2" w:rsidRPr="000D2331" w:rsidRDefault="003D62C9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2763D2"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78,798.1</w:t>
            </w:r>
          </w:p>
        </w:tc>
        <w:tc>
          <w:tcPr>
            <w:tcW w:w="1622" w:type="dxa"/>
            <w:vAlign w:val="center"/>
            <w:hideMark/>
          </w:tcPr>
          <w:p w14:paraId="6461A145" w14:textId="1DEB6AF6" w:rsidR="002763D2" w:rsidRPr="000D2331" w:rsidRDefault="003D62C9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2763D2" w:rsidRPr="000D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4C44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5,216.7</w:t>
            </w:r>
          </w:p>
        </w:tc>
        <w:tc>
          <w:tcPr>
            <w:tcW w:w="1693" w:type="dxa"/>
            <w:vAlign w:val="center"/>
            <w:hideMark/>
          </w:tcPr>
          <w:p w14:paraId="1074BD7E" w14:textId="4524ED10" w:rsidR="002763D2" w:rsidRPr="000D2331" w:rsidRDefault="002763D2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vAlign w:val="center"/>
            <w:hideMark/>
          </w:tcPr>
          <w:p w14:paraId="4723694A" w14:textId="138AE123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color w:val="8A1F32"/>
                <w:sz w:val="20"/>
                <w:szCs w:val="20"/>
              </w:rPr>
            </w:pPr>
          </w:p>
        </w:tc>
      </w:tr>
      <w:tr w:rsidR="002763D2" w:rsidRPr="000D2331" w14:paraId="4B447ADD" w14:textId="77777777" w:rsidTr="005D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E8E9E8"/>
            <w:noWrap/>
            <w:vAlign w:val="center"/>
            <w:hideMark/>
          </w:tcPr>
          <w:p w14:paraId="37DDB154" w14:textId="77777777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206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All Funds Total</w:t>
            </w:r>
          </w:p>
        </w:tc>
        <w:tc>
          <w:tcPr>
            <w:tcW w:w="1658" w:type="dxa"/>
            <w:shd w:val="clear" w:color="auto" w:fill="E8E9E8"/>
            <w:vAlign w:val="center"/>
            <w:hideMark/>
          </w:tcPr>
          <w:p w14:paraId="4EE8A407" w14:textId="51EBC60B" w:rsidR="002763D2" w:rsidRPr="000D2331" w:rsidRDefault="002763D2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$235,042.2</w:t>
            </w:r>
          </w:p>
        </w:tc>
        <w:tc>
          <w:tcPr>
            <w:tcW w:w="1622" w:type="dxa"/>
            <w:shd w:val="clear" w:color="auto" w:fill="E8E9E8"/>
            <w:vAlign w:val="center"/>
            <w:hideMark/>
          </w:tcPr>
          <w:p w14:paraId="134A9948" w14:textId="07D0F31C" w:rsidR="002763D2" w:rsidRPr="000D2331" w:rsidRDefault="002763D2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$24</w:t>
            </w:r>
            <w:r w:rsidR="00DD586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5,</w:t>
            </w:r>
            <w:r w:rsidR="004C440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2</w:t>
            </w:r>
            <w:r w:rsidR="00DD586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89.</w:t>
            </w:r>
            <w:r w:rsidR="004C440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E8E9E8"/>
            <w:vAlign w:val="center"/>
            <w:hideMark/>
          </w:tcPr>
          <w:p w14:paraId="2FE721D8" w14:textId="2FF47D67" w:rsidR="002763D2" w:rsidRPr="000D2331" w:rsidRDefault="002763D2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$246,800.0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shd w:val="clear" w:color="auto" w:fill="E8E9E8"/>
            <w:vAlign w:val="center"/>
            <w:hideMark/>
          </w:tcPr>
          <w:p w14:paraId="0DB7BFE1" w14:textId="6D74ADC6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8A1F32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8A1F32"/>
                <w:sz w:val="20"/>
                <w:szCs w:val="20"/>
              </w:rPr>
              <w:t>-$</w:t>
            </w:r>
            <w:r w:rsidR="00DD5864">
              <w:rPr>
                <w:rFonts w:ascii="Calibri" w:eastAsia="Times New Roman" w:hAnsi="Calibri" w:cs="Calibri"/>
                <w:color w:val="8A1F32"/>
                <w:sz w:val="20"/>
                <w:szCs w:val="20"/>
              </w:rPr>
              <w:t>1,</w:t>
            </w:r>
            <w:r w:rsidR="004C4400">
              <w:rPr>
                <w:rFonts w:ascii="Calibri" w:eastAsia="Times New Roman" w:hAnsi="Calibri" w:cs="Calibri"/>
                <w:color w:val="8A1F32"/>
                <w:sz w:val="20"/>
                <w:szCs w:val="20"/>
              </w:rPr>
              <w:t>510.2</w:t>
            </w:r>
          </w:p>
        </w:tc>
      </w:tr>
      <w:tr w:rsidR="002763D2" w:rsidRPr="000D2331" w14:paraId="2EFFF2B4" w14:textId="77777777" w:rsidTr="005D660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noWrap/>
            <w:vAlign w:val="center"/>
            <w:hideMark/>
          </w:tcPr>
          <w:p w14:paraId="1D2A3AFE" w14:textId="77777777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  <w:t>GR Change</w:t>
            </w:r>
          </w:p>
        </w:tc>
        <w:tc>
          <w:tcPr>
            <w:tcW w:w="1658" w:type="dxa"/>
            <w:vAlign w:val="center"/>
            <w:hideMark/>
          </w:tcPr>
          <w:p w14:paraId="7825D96B" w14:textId="517BA43F" w:rsidR="002763D2" w:rsidRPr="000D2331" w:rsidRDefault="002763D2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B8EB9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  <w:hideMark/>
          </w:tcPr>
          <w:p w14:paraId="70126557" w14:textId="0C98B18B" w:rsidR="002763D2" w:rsidRPr="000D2331" w:rsidRDefault="002763D2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-</w:t>
            </w:r>
            <w:r w:rsidR="00DD5864"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0.3</w:t>
            </w:r>
            <w:r w:rsidRPr="000D2331"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%</w:t>
            </w:r>
          </w:p>
        </w:tc>
        <w:tc>
          <w:tcPr>
            <w:tcW w:w="1693" w:type="dxa"/>
            <w:vAlign w:val="center"/>
            <w:hideMark/>
          </w:tcPr>
          <w:p w14:paraId="0CC6A229" w14:textId="0F58D7D6" w:rsidR="002763D2" w:rsidRPr="000D2331" w:rsidRDefault="002763D2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vAlign w:val="center"/>
            <w:hideMark/>
          </w:tcPr>
          <w:p w14:paraId="48C0B61D" w14:textId="2C82B0F9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2763D2" w:rsidRPr="000D2331" w14:paraId="4978AD56" w14:textId="77777777" w:rsidTr="005D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uto"/>
            <w:noWrap/>
            <w:vAlign w:val="center"/>
            <w:hideMark/>
          </w:tcPr>
          <w:p w14:paraId="2C0E9D29" w14:textId="77777777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  <w:t>State Change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47B00975" w14:textId="2CCC1294" w:rsidR="002763D2" w:rsidRPr="000D2331" w:rsidRDefault="002763D2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B8EB9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E57EEF7" w14:textId="38815BD3" w:rsidR="002763D2" w:rsidRPr="000D2331" w:rsidRDefault="00DD5864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2.</w:t>
            </w:r>
            <w:r w:rsidR="004C4400"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5</w:t>
            </w:r>
            <w:r w:rsidR="002763D2" w:rsidRPr="000D2331"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14:paraId="3E7776F0" w14:textId="77777777" w:rsidR="002763D2" w:rsidRPr="000D2331" w:rsidRDefault="002763D2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5.0%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shd w:val="clear" w:color="auto" w:fill="auto"/>
            <w:vAlign w:val="center"/>
            <w:hideMark/>
          </w:tcPr>
          <w:p w14:paraId="7FFC10C4" w14:textId="6DDEB3CE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2060"/>
                <w:sz w:val="20"/>
                <w:szCs w:val="20"/>
              </w:rPr>
            </w:pPr>
          </w:p>
        </w:tc>
      </w:tr>
      <w:tr w:rsidR="002763D2" w:rsidRPr="000D2331" w14:paraId="0D43B799" w14:textId="77777777" w:rsidTr="005D660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uto"/>
            <w:noWrap/>
            <w:vAlign w:val="center"/>
            <w:hideMark/>
          </w:tcPr>
          <w:p w14:paraId="359E9E40" w14:textId="59BEA1EE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  <w:t>Fed</w:t>
            </w:r>
            <w:r w:rsidR="003D62C9" w:rsidRPr="000D2331"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  <w:t>eral</w:t>
            </w:r>
            <w:r w:rsidRPr="000D2331"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  <w:t xml:space="preserve"> Change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2129C735" w14:textId="6A8B4758" w:rsidR="002763D2" w:rsidRPr="000D2331" w:rsidRDefault="002763D2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B8EB9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E53B81C" w14:textId="29CBDC08" w:rsidR="002763D2" w:rsidRPr="000D2331" w:rsidRDefault="004C4400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8.1</w:t>
            </w:r>
            <w:r w:rsidR="002763D2" w:rsidRPr="000D2331"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14:paraId="4CCAFC10" w14:textId="442611DF" w:rsidR="002763D2" w:rsidRPr="000D2331" w:rsidRDefault="002763D2" w:rsidP="00D1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shd w:val="clear" w:color="auto" w:fill="auto"/>
            <w:vAlign w:val="center"/>
            <w:hideMark/>
          </w:tcPr>
          <w:p w14:paraId="5EFF9121" w14:textId="7C3CF386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2060"/>
                <w:sz w:val="20"/>
                <w:szCs w:val="20"/>
              </w:rPr>
            </w:pPr>
          </w:p>
        </w:tc>
      </w:tr>
      <w:tr w:rsidR="002763D2" w:rsidRPr="000D2331" w14:paraId="2A88B2B7" w14:textId="77777777" w:rsidTr="005D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uto"/>
            <w:noWrap/>
            <w:vAlign w:val="center"/>
            <w:hideMark/>
          </w:tcPr>
          <w:p w14:paraId="79E724BF" w14:textId="32553C79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  <w:t xml:space="preserve">All </w:t>
            </w:r>
            <w:r w:rsidR="003D62C9" w:rsidRPr="000D2331"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  <w:t xml:space="preserve">Funds </w:t>
            </w:r>
            <w:r w:rsidRPr="000D2331">
              <w:rPr>
                <w:rFonts w:ascii="Calibri" w:eastAsia="Times New Roman" w:hAnsi="Calibri" w:cs="Calibri"/>
                <w:b w:val="0"/>
                <w:bCs w:val="0"/>
                <w:color w:val="5B8EB9"/>
                <w:sz w:val="20"/>
                <w:szCs w:val="20"/>
              </w:rPr>
              <w:t>Change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3379AE1F" w14:textId="495765D9" w:rsidR="002763D2" w:rsidRPr="000D2331" w:rsidRDefault="002763D2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B8EB9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18939728" w14:textId="7AAD12E2" w:rsidR="002763D2" w:rsidRPr="000D2331" w:rsidRDefault="00DD5864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4.</w:t>
            </w:r>
            <w:r w:rsidR="004C4400"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4</w:t>
            </w:r>
            <w:r w:rsidR="002763D2" w:rsidRPr="000D2331"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14:paraId="711AAA87" w14:textId="77777777" w:rsidR="002763D2" w:rsidRPr="000D2331" w:rsidRDefault="002763D2" w:rsidP="00D13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</w:pPr>
            <w:r w:rsidRPr="000D2331">
              <w:rPr>
                <w:rFonts w:ascii="Calibri" w:eastAsia="Times New Roman" w:hAnsi="Calibri" w:cs="Calibri"/>
                <w:color w:val="5B8EB9"/>
                <w:sz w:val="20"/>
                <w:szCs w:val="20"/>
              </w:rPr>
              <w:t>5.0%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5" w:type="dxa"/>
            <w:shd w:val="clear" w:color="auto" w:fill="auto"/>
            <w:vAlign w:val="center"/>
            <w:hideMark/>
          </w:tcPr>
          <w:p w14:paraId="34A4B65E" w14:textId="38EB0D93" w:rsidR="002763D2" w:rsidRPr="000D2331" w:rsidRDefault="002763D2" w:rsidP="00D3059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2060"/>
                <w:sz w:val="20"/>
                <w:szCs w:val="20"/>
              </w:rPr>
            </w:pPr>
          </w:p>
        </w:tc>
      </w:tr>
    </w:tbl>
    <w:p w14:paraId="13B9D3B8" w14:textId="77777777" w:rsidR="009164C3" w:rsidRPr="00454FB4" w:rsidRDefault="009164C3" w:rsidP="00C17DA0">
      <w:pPr>
        <w:rPr>
          <w:sz w:val="20"/>
          <w:szCs w:val="22"/>
        </w:rPr>
      </w:pPr>
    </w:p>
    <w:p w14:paraId="5328B120" w14:textId="2BA61967" w:rsidR="00832027" w:rsidRPr="00832027" w:rsidRDefault="00832027" w:rsidP="00C17DA0">
      <w:pPr>
        <w:rPr>
          <w:b/>
          <w:bCs/>
        </w:rPr>
      </w:pPr>
      <w:r>
        <w:rPr>
          <w:b/>
          <w:bCs/>
        </w:rPr>
        <w:t>Overview</w:t>
      </w:r>
    </w:p>
    <w:p w14:paraId="7B8D1066" w14:textId="545A493E" w:rsidR="00015E2F" w:rsidRPr="004234EF" w:rsidRDefault="00015E2F" w:rsidP="00C17DA0">
      <w:r w:rsidRPr="004234EF">
        <w:t>Th</w:t>
      </w:r>
      <w:r w:rsidR="00370EC0" w:rsidRPr="004234EF">
        <w:t>is</w:t>
      </w:r>
      <w:r w:rsidR="00BA07FC" w:rsidRPr="004234EF">
        <w:t xml:space="preserve"> table</w:t>
      </w:r>
      <w:r w:rsidR="001A5B35" w:rsidRPr="004234EF">
        <w:t xml:space="preserve"> provide</w:t>
      </w:r>
      <w:r w:rsidR="00370EC0" w:rsidRPr="004234EF">
        <w:t>s</w:t>
      </w:r>
      <w:r w:rsidR="001A5B35" w:rsidRPr="004234EF">
        <w:t xml:space="preserve"> a</w:t>
      </w:r>
      <w:r w:rsidR="00C17DA0" w:rsidRPr="004234EF">
        <w:t xml:space="preserve"> comparison of </w:t>
      </w:r>
      <w:r w:rsidR="000D2331" w:rsidRPr="004234EF">
        <w:t xml:space="preserve">initial </w:t>
      </w:r>
      <w:r w:rsidR="006F3939" w:rsidRPr="004234EF">
        <w:t xml:space="preserve">appropriations </w:t>
      </w:r>
      <w:r w:rsidR="00C17DA0" w:rsidRPr="004234EF">
        <w:t>for the 20</w:t>
      </w:r>
      <w:r w:rsidR="00BF1D57" w:rsidRPr="004234EF">
        <w:t>20</w:t>
      </w:r>
      <w:r w:rsidR="00170EAA">
        <w:t>–</w:t>
      </w:r>
      <w:r w:rsidR="00BF1D57" w:rsidRPr="004234EF">
        <w:t>21</w:t>
      </w:r>
      <w:r w:rsidR="00C17DA0" w:rsidRPr="004234EF">
        <w:t xml:space="preserve"> budget from the Legislative Budget Board’s (LBB) </w:t>
      </w:r>
      <w:hyperlink r:id="rId8" w:history="1">
        <w:r w:rsidR="00C17DA0" w:rsidRPr="00AB61F3">
          <w:rPr>
            <w:rStyle w:val="Hyperlink"/>
            <w:color w:val="0E57C4" w:themeColor="background2" w:themeShade="80"/>
          </w:rPr>
          <w:t>Fiscal Size-Up</w:t>
        </w:r>
      </w:hyperlink>
      <w:r w:rsidR="001A5B35" w:rsidRPr="004234EF">
        <w:t xml:space="preserve"> and </w:t>
      </w:r>
      <w:r w:rsidR="006F3939" w:rsidRPr="004234EF">
        <w:t xml:space="preserve">for </w:t>
      </w:r>
      <w:r w:rsidR="002763D2" w:rsidRPr="004234EF">
        <w:t>the</w:t>
      </w:r>
      <w:r w:rsidRPr="004234EF">
        <w:t xml:space="preserve"> </w:t>
      </w:r>
      <w:hyperlink r:id="rId9" w:history="1">
        <w:r w:rsidR="00191833" w:rsidRPr="00AB61F3">
          <w:rPr>
            <w:rStyle w:val="Hyperlink"/>
            <w:color w:val="0E57C4" w:themeColor="background2" w:themeShade="80"/>
          </w:rPr>
          <w:t>20</w:t>
        </w:r>
        <w:r w:rsidR="00BF1D57" w:rsidRPr="00AB61F3">
          <w:rPr>
            <w:rStyle w:val="Hyperlink"/>
            <w:color w:val="0E57C4" w:themeColor="background2" w:themeShade="80"/>
          </w:rPr>
          <w:t>22</w:t>
        </w:r>
        <w:r w:rsidR="00170EAA">
          <w:rPr>
            <w:rStyle w:val="Hyperlink"/>
            <w:color w:val="0E57C4" w:themeColor="background2" w:themeShade="80"/>
          </w:rPr>
          <w:t>–</w:t>
        </w:r>
        <w:r w:rsidR="00191833" w:rsidRPr="00AB61F3">
          <w:rPr>
            <w:rStyle w:val="Hyperlink"/>
            <w:color w:val="0E57C4" w:themeColor="background2" w:themeShade="80"/>
          </w:rPr>
          <w:t>2</w:t>
        </w:r>
        <w:r w:rsidR="00BF1D57" w:rsidRPr="00AB61F3">
          <w:rPr>
            <w:rStyle w:val="Hyperlink"/>
            <w:color w:val="0E57C4" w:themeColor="background2" w:themeShade="80"/>
          </w:rPr>
          <w:t>3</w:t>
        </w:r>
        <w:r w:rsidR="006F3939" w:rsidRPr="00AB61F3">
          <w:rPr>
            <w:rStyle w:val="Hyperlink"/>
            <w:color w:val="0E57C4" w:themeColor="background2" w:themeShade="80"/>
          </w:rPr>
          <w:t xml:space="preserve"> bud</w:t>
        </w:r>
        <w:r w:rsidR="00EB1B65" w:rsidRPr="00AB61F3">
          <w:rPr>
            <w:rStyle w:val="Hyperlink"/>
            <w:color w:val="0E57C4" w:themeColor="background2" w:themeShade="80"/>
          </w:rPr>
          <w:t>g</w:t>
        </w:r>
        <w:r w:rsidR="006F3939" w:rsidRPr="00AB61F3">
          <w:rPr>
            <w:rStyle w:val="Hyperlink"/>
            <w:color w:val="0E57C4" w:themeColor="background2" w:themeShade="80"/>
          </w:rPr>
          <w:t>et</w:t>
        </w:r>
      </w:hyperlink>
      <w:r w:rsidR="002C7CD4">
        <w:t xml:space="preserve">. </w:t>
      </w:r>
      <w:r w:rsidR="00C17DA0" w:rsidRPr="004234EF">
        <w:t xml:space="preserve">We compare </w:t>
      </w:r>
      <w:r w:rsidR="002763D2" w:rsidRPr="004234EF">
        <w:t xml:space="preserve">the </w:t>
      </w:r>
      <w:r w:rsidR="002C7CD4">
        <w:t>2022</w:t>
      </w:r>
      <w:r w:rsidR="008C43DE">
        <w:t>–</w:t>
      </w:r>
      <w:r w:rsidR="002C7CD4">
        <w:t xml:space="preserve">23 </w:t>
      </w:r>
      <w:r w:rsidR="002763D2" w:rsidRPr="004234EF">
        <w:t>budget</w:t>
      </w:r>
      <w:r w:rsidR="00C17DA0" w:rsidRPr="004234EF">
        <w:t xml:space="preserve"> with the</w:t>
      </w:r>
      <w:r w:rsidR="00BE4772">
        <w:t xml:space="preserve"> </w:t>
      </w:r>
      <w:r w:rsidR="00DD5993" w:rsidRPr="004234EF">
        <w:t xml:space="preserve">Foundation’s </w:t>
      </w:r>
      <w:hyperlink r:id="rId10" w:tgtFrame="_blank" w:history="1">
        <w:r w:rsidR="00C17DA0" w:rsidRPr="00AB61F3">
          <w:rPr>
            <w:rStyle w:val="Hyperlink"/>
            <w:color w:val="0E57C4" w:themeColor="background2" w:themeShade="80"/>
          </w:rPr>
          <w:t>Conservative Texas Budget</w:t>
        </w:r>
      </w:hyperlink>
      <w:r w:rsidR="00AB61F3">
        <w:t xml:space="preserve"> (</w:t>
      </w:r>
      <w:r w:rsidR="00C17DA0" w:rsidRPr="004234EF">
        <w:t>CTB) limits based</w:t>
      </w:r>
      <w:r w:rsidR="000D2331" w:rsidRPr="004234EF">
        <w:t xml:space="preserve"> on</w:t>
      </w:r>
      <w:r w:rsidR="006F3939" w:rsidRPr="004234EF">
        <w:t xml:space="preserve"> a</w:t>
      </w:r>
      <w:r w:rsidR="00C17DA0" w:rsidRPr="004234EF">
        <w:t xml:space="preserve"> </w:t>
      </w:r>
      <w:r w:rsidR="00BF1D57" w:rsidRPr="004234EF">
        <w:t>5</w:t>
      </w:r>
      <w:r w:rsidR="00E56785" w:rsidRPr="004234EF">
        <w:t>%</w:t>
      </w:r>
      <w:r w:rsidR="00C17DA0" w:rsidRPr="004234EF">
        <w:t xml:space="preserve"> </w:t>
      </w:r>
      <w:r w:rsidR="006F3939" w:rsidRPr="004234EF">
        <w:t xml:space="preserve">increase </w:t>
      </w:r>
      <w:r w:rsidR="00C17DA0" w:rsidRPr="004234EF">
        <w:t xml:space="preserve">in population growth </w:t>
      </w:r>
      <w:r w:rsidR="00BF1D57" w:rsidRPr="004234EF">
        <w:t>plus</w:t>
      </w:r>
      <w:r w:rsidR="00C17DA0" w:rsidRPr="004234EF">
        <w:t xml:space="preserve"> inflation.</w:t>
      </w:r>
    </w:p>
    <w:p w14:paraId="3C99D82C" w14:textId="689FA93B" w:rsidR="00015E2F" w:rsidRDefault="00015E2F" w:rsidP="00C17DA0"/>
    <w:p w14:paraId="32544FB2" w14:textId="3BB37F9F" w:rsidR="00832027" w:rsidRPr="00832027" w:rsidRDefault="00832027" w:rsidP="00C17DA0">
      <w:pPr>
        <w:rPr>
          <w:b/>
          <w:bCs/>
        </w:rPr>
      </w:pPr>
      <w:r>
        <w:rPr>
          <w:b/>
          <w:bCs/>
        </w:rPr>
        <w:t>Exclusions</w:t>
      </w:r>
    </w:p>
    <w:p w14:paraId="60750F7D" w14:textId="6F7B2E19" w:rsidR="005E6A57" w:rsidRDefault="009D14EF" w:rsidP="00C17DA0">
      <w:r>
        <w:t xml:space="preserve">In the table above, we exclude the following </w:t>
      </w:r>
      <w:r w:rsidR="005E6A57">
        <w:t>amounts</w:t>
      </w:r>
      <w:r>
        <w:t>:</w:t>
      </w:r>
      <w:r w:rsidR="005E6A57">
        <w:t xml:space="preserve"> </w:t>
      </w:r>
    </w:p>
    <w:p w14:paraId="326AAF0D" w14:textId="11F86680" w:rsidR="00C432B8" w:rsidRDefault="005E6A57" w:rsidP="005E6A57">
      <w:pPr>
        <w:pStyle w:val="ListParagraph"/>
        <w:numPr>
          <w:ilvl w:val="0"/>
          <w:numId w:val="7"/>
        </w:numPr>
      </w:pPr>
      <w:r>
        <w:t xml:space="preserve">For the </w:t>
      </w:r>
      <w:r w:rsidR="00AF2339" w:rsidRPr="004234EF">
        <w:t>2020</w:t>
      </w:r>
      <w:r w:rsidR="008C43DE">
        <w:t>–</w:t>
      </w:r>
      <w:r w:rsidR="00AF2339" w:rsidRPr="004234EF">
        <w:t xml:space="preserve">21 </w:t>
      </w:r>
      <w:r w:rsidR="00BF1D57" w:rsidRPr="004234EF">
        <w:t>budget</w:t>
      </w:r>
      <w:r w:rsidR="00C432B8">
        <w:t>:</w:t>
      </w:r>
    </w:p>
    <w:p w14:paraId="3E0A533D" w14:textId="00369A02" w:rsidR="00C432B8" w:rsidRDefault="00BF1D57" w:rsidP="00C432B8">
      <w:pPr>
        <w:pStyle w:val="ListParagraph"/>
        <w:numPr>
          <w:ilvl w:val="1"/>
          <w:numId w:val="7"/>
        </w:numPr>
      </w:pPr>
      <w:r w:rsidRPr="004234EF">
        <w:t>$8.3 billion</w:t>
      </w:r>
      <w:r w:rsidR="000D2331" w:rsidRPr="004234EF">
        <w:t xml:space="preserve"> in mostly federal funds</w:t>
      </w:r>
      <w:r w:rsidRPr="004234EF">
        <w:t xml:space="preserve"> </w:t>
      </w:r>
      <w:r w:rsidR="000D2331" w:rsidRPr="004234EF">
        <w:t>for</w:t>
      </w:r>
      <w:r w:rsidR="004234EF" w:rsidRPr="004234EF">
        <w:t xml:space="preserve"> </w:t>
      </w:r>
      <w:r w:rsidRPr="004234EF">
        <w:t xml:space="preserve">Hurricane </w:t>
      </w:r>
      <w:r w:rsidR="00C17DA0" w:rsidRPr="004234EF">
        <w:t>Harvey recovery</w:t>
      </w:r>
      <w:r w:rsidR="004234EF" w:rsidRPr="004234EF">
        <w:t xml:space="preserve"> expenses</w:t>
      </w:r>
      <w:r w:rsidR="005B499C">
        <w:t>.</w:t>
      </w:r>
    </w:p>
    <w:p w14:paraId="1238F93E" w14:textId="169071E0" w:rsidR="005E6A57" w:rsidRDefault="00BF1D57" w:rsidP="00C432B8">
      <w:pPr>
        <w:pStyle w:val="ListParagraph"/>
        <w:numPr>
          <w:ilvl w:val="1"/>
          <w:numId w:val="7"/>
        </w:numPr>
      </w:pPr>
      <w:r w:rsidRPr="004234EF">
        <w:t xml:space="preserve">$5 billion in </w:t>
      </w:r>
      <w:r w:rsidR="008444BA" w:rsidRPr="004234EF">
        <w:t>general revenue</w:t>
      </w:r>
      <w:r w:rsidR="00AF65A1">
        <w:t xml:space="preserve"> (GR)</w:t>
      </w:r>
      <w:r w:rsidR="00F51746" w:rsidRPr="004234EF">
        <w:t xml:space="preserve"> funds</w:t>
      </w:r>
      <w:r w:rsidR="008444BA" w:rsidRPr="004234EF">
        <w:t xml:space="preserve"> for </w:t>
      </w:r>
      <w:r w:rsidR="000D2331" w:rsidRPr="004234EF">
        <w:t xml:space="preserve">a 7-cent tax rate compression of </w:t>
      </w:r>
      <w:r w:rsidR="00991BC7" w:rsidRPr="004234EF">
        <w:t xml:space="preserve">school district M&amp;O </w:t>
      </w:r>
      <w:r w:rsidRPr="004234EF">
        <w:t>property tax</w:t>
      </w:r>
      <w:r w:rsidR="000D2331" w:rsidRPr="004234EF">
        <w:t>es</w:t>
      </w:r>
      <w:r w:rsidR="001637CB" w:rsidRPr="004234EF">
        <w:t xml:space="preserve"> </w:t>
      </w:r>
      <w:r w:rsidRPr="004234EF">
        <w:t xml:space="preserve">in </w:t>
      </w:r>
      <w:hyperlink r:id="rId11" w:history="1">
        <w:r w:rsidRPr="005E6A57">
          <w:rPr>
            <w:rStyle w:val="Hyperlink"/>
            <w:color w:val="0E57C4" w:themeColor="background2" w:themeShade="80"/>
          </w:rPr>
          <w:t>HB 3</w:t>
        </w:r>
      </w:hyperlink>
      <w:r w:rsidR="00DE5C30" w:rsidRPr="004234EF">
        <w:t xml:space="preserve"> from the 2019 session</w:t>
      </w:r>
      <w:r w:rsidRPr="004234EF">
        <w:t>.</w:t>
      </w:r>
    </w:p>
    <w:p w14:paraId="2AE2E714" w14:textId="0F08496F" w:rsidR="005E6A57" w:rsidRDefault="005E6A57" w:rsidP="005E6A57">
      <w:pPr>
        <w:pStyle w:val="ListParagraph"/>
        <w:numPr>
          <w:ilvl w:val="0"/>
          <w:numId w:val="7"/>
        </w:numPr>
      </w:pPr>
      <w:r>
        <w:t>For the</w:t>
      </w:r>
      <w:r w:rsidR="008A03D4" w:rsidRPr="004234EF">
        <w:t xml:space="preserve"> </w:t>
      </w:r>
      <w:hyperlink r:id="rId12" w:history="1">
        <w:r w:rsidR="008A03D4" w:rsidRPr="00EA33C1">
          <w:rPr>
            <w:rStyle w:val="Hyperlink"/>
            <w:color w:val="0E57C4" w:themeColor="background2" w:themeShade="80"/>
          </w:rPr>
          <w:t>2022</w:t>
        </w:r>
        <w:r w:rsidR="008C43DE" w:rsidRPr="00EA33C1">
          <w:rPr>
            <w:rStyle w:val="Hyperlink"/>
            <w:color w:val="0E57C4" w:themeColor="background2" w:themeShade="80"/>
          </w:rPr>
          <w:t>–</w:t>
        </w:r>
        <w:r w:rsidR="008A03D4" w:rsidRPr="00EA33C1">
          <w:rPr>
            <w:rStyle w:val="Hyperlink"/>
            <w:color w:val="0E57C4" w:themeColor="background2" w:themeShade="80"/>
          </w:rPr>
          <w:t>23 budget</w:t>
        </w:r>
      </w:hyperlink>
      <w:r>
        <w:t>:</w:t>
      </w:r>
      <w:r w:rsidR="008444BA" w:rsidRPr="004234EF">
        <w:t xml:space="preserve"> </w:t>
      </w:r>
    </w:p>
    <w:p w14:paraId="19AF03DC" w14:textId="1BB87C59" w:rsidR="005E6A57" w:rsidRDefault="00E06658" w:rsidP="005E6A57">
      <w:pPr>
        <w:pStyle w:val="ListParagraph"/>
        <w:numPr>
          <w:ilvl w:val="1"/>
          <w:numId w:val="7"/>
        </w:numPr>
      </w:pPr>
      <w:r w:rsidRPr="00EA33C1">
        <w:t>$6.1 billion in GR funds</w:t>
      </w:r>
      <w:r w:rsidR="008444BA" w:rsidRPr="004234EF">
        <w:t xml:space="preserve"> </w:t>
      </w:r>
      <w:r w:rsidR="00AF65A1">
        <w:t xml:space="preserve">during the 2021 regular session </w:t>
      </w:r>
      <w:r w:rsidR="008444BA" w:rsidRPr="004234EF">
        <w:t xml:space="preserve">to </w:t>
      </w:r>
      <w:hyperlink r:id="rId13" w:history="1">
        <w:r w:rsidR="008444BA" w:rsidRPr="00EA33C1">
          <w:rPr>
            <w:rStyle w:val="Hyperlink"/>
            <w:color w:val="0E57C4" w:themeColor="background2" w:themeShade="80"/>
          </w:rPr>
          <w:t>maintain property tax relief</w:t>
        </w:r>
      </w:hyperlink>
      <w:r w:rsidR="00AF65A1">
        <w:t xml:space="preserve"> provided in 2019</w:t>
      </w:r>
      <w:r w:rsidR="00E1782E" w:rsidRPr="004234EF">
        <w:t>—</w:t>
      </w:r>
      <w:r w:rsidR="000E5A78">
        <w:t>necessary to avoid</w:t>
      </w:r>
      <w:r w:rsidR="00991BC7" w:rsidRPr="004234EF">
        <w:t xml:space="preserve"> </w:t>
      </w:r>
      <w:r w:rsidR="00EB1B65" w:rsidRPr="004234EF">
        <w:t xml:space="preserve">a </w:t>
      </w:r>
      <w:r w:rsidR="006F3939" w:rsidRPr="004234EF">
        <w:t>7-cent</w:t>
      </w:r>
      <w:r w:rsidR="00AF65A1">
        <w:t xml:space="preserve"> </w:t>
      </w:r>
      <w:r w:rsidR="008A03D4" w:rsidRPr="004234EF">
        <w:t xml:space="preserve">rate </w:t>
      </w:r>
      <w:r w:rsidR="006F3939" w:rsidRPr="004234EF">
        <w:t>hike</w:t>
      </w:r>
      <w:r w:rsidR="00991BC7" w:rsidRPr="004234EF">
        <w:t xml:space="preserve"> and </w:t>
      </w:r>
      <w:r w:rsidR="006F3939" w:rsidRPr="004234EF">
        <w:t xml:space="preserve">more </w:t>
      </w:r>
      <w:r w:rsidR="00991BC7" w:rsidRPr="004234EF">
        <w:t>spending</w:t>
      </w:r>
      <w:r w:rsidR="005E6A57">
        <w:t>.</w:t>
      </w:r>
    </w:p>
    <w:p w14:paraId="60C0BD30" w14:textId="19DD28C4" w:rsidR="005E6A57" w:rsidRDefault="00E06658" w:rsidP="005E6A57">
      <w:pPr>
        <w:pStyle w:val="ListParagraph"/>
        <w:numPr>
          <w:ilvl w:val="1"/>
          <w:numId w:val="7"/>
        </w:numPr>
      </w:pPr>
      <w:r w:rsidRPr="00EA33C1">
        <w:t>$100 million in GR funds</w:t>
      </w:r>
      <w:r w:rsidR="005E6A57">
        <w:t xml:space="preserve"> </w:t>
      </w:r>
      <w:r w:rsidR="00AF65A1">
        <w:t xml:space="preserve">for property tax relief for </w:t>
      </w:r>
      <w:r w:rsidR="004C4400">
        <w:t>f</w:t>
      </w:r>
      <w:r w:rsidR="00AF65A1">
        <w:t xml:space="preserve">irst-time homesteads </w:t>
      </w:r>
      <w:r w:rsidR="005E6A57">
        <w:t>(</w:t>
      </w:r>
      <w:hyperlink r:id="rId14" w:history="1">
        <w:r w:rsidR="005E6A57" w:rsidRPr="005E6A57">
          <w:rPr>
            <w:rStyle w:val="Hyperlink"/>
            <w:color w:val="0E57C4" w:themeColor="background2" w:themeShade="80"/>
          </w:rPr>
          <w:t>SB 8</w:t>
        </w:r>
      </w:hyperlink>
      <w:r w:rsidR="005E6A57">
        <w:t>) during the second special session.</w:t>
      </w:r>
      <w:r w:rsidR="00F51746" w:rsidRPr="004234EF">
        <w:t xml:space="preserve"> </w:t>
      </w:r>
    </w:p>
    <w:p w14:paraId="1390E999" w14:textId="2EF33486" w:rsidR="00C17DA0" w:rsidRPr="004234EF" w:rsidRDefault="00E06658" w:rsidP="005E6A57">
      <w:pPr>
        <w:pStyle w:val="ListParagraph"/>
        <w:numPr>
          <w:ilvl w:val="1"/>
          <w:numId w:val="7"/>
        </w:numPr>
      </w:pPr>
      <w:r w:rsidRPr="00EA33C1">
        <w:t>$13.3 billion in one-time federal funds</w:t>
      </w:r>
      <w:r w:rsidR="009164C3">
        <w:t xml:space="preserve"> from the American Rescue Plan Act of 2021. We excluded this amount </w:t>
      </w:r>
      <w:r w:rsidR="001637CB" w:rsidRPr="004234EF">
        <w:t>for</w:t>
      </w:r>
      <w:r w:rsidR="00E1782E" w:rsidRPr="004234EF">
        <w:t xml:space="preserve"> transparency</w:t>
      </w:r>
      <w:r w:rsidR="008C43DE">
        <w:t>—</w:t>
      </w:r>
      <w:r w:rsidR="00AF65A1">
        <w:t xml:space="preserve">as </w:t>
      </w:r>
      <w:r w:rsidR="009164C3">
        <w:t>it</w:t>
      </w:r>
      <w:r w:rsidR="00AF65A1">
        <w:t xml:space="preserve"> </w:t>
      </w:r>
      <w:r w:rsidR="009164C3">
        <w:t>was appropriately kept separate in Article XII of the budget</w:t>
      </w:r>
      <w:r w:rsidR="008C43DE">
        <w:t>—</w:t>
      </w:r>
      <w:r w:rsidR="00E1782E" w:rsidRPr="004234EF">
        <w:t>and</w:t>
      </w:r>
      <w:r w:rsidR="004C4400">
        <w:t xml:space="preserve"> not</w:t>
      </w:r>
      <w:r w:rsidR="00E1782E" w:rsidRPr="004234EF">
        <w:t xml:space="preserve"> </w:t>
      </w:r>
      <w:r w:rsidR="005E6A57">
        <w:t>to</w:t>
      </w:r>
      <w:r w:rsidR="008444BA" w:rsidRPr="004234EF">
        <w:t xml:space="preserve"> inflat</w:t>
      </w:r>
      <w:r w:rsidR="005E6A57">
        <w:t>e</w:t>
      </w:r>
      <w:r w:rsidR="008444BA" w:rsidRPr="004234EF">
        <w:t xml:space="preserve"> the </w:t>
      </w:r>
      <w:r w:rsidR="003D62C9" w:rsidRPr="004234EF">
        <w:t>budget</w:t>
      </w:r>
      <w:r w:rsidR="00DE5C30" w:rsidRPr="004234EF">
        <w:t xml:space="preserve"> </w:t>
      </w:r>
      <w:r w:rsidR="004B1903">
        <w:t xml:space="preserve">as </w:t>
      </w:r>
      <w:hyperlink r:id="rId15" w:history="1">
        <w:r w:rsidR="004B1903" w:rsidRPr="00C432B8">
          <w:rPr>
            <w:rStyle w:val="Hyperlink"/>
            <w:color w:val="0E57C4" w:themeColor="background2" w:themeShade="80"/>
          </w:rPr>
          <w:t xml:space="preserve">happened </w:t>
        </w:r>
        <w:r w:rsidR="00C432B8" w:rsidRPr="00C432B8">
          <w:rPr>
            <w:rStyle w:val="Hyperlink"/>
            <w:color w:val="0E57C4" w:themeColor="background2" w:themeShade="80"/>
          </w:rPr>
          <w:t>to public education</w:t>
        </w:r>
      </w:hyperlink>
      <w:r w:rsidR="009164C3">
        <w:t xml:space="preserve"> after the American Recovery and Reinvestment Act of 2009. </w:t>
      </w:r>
      <w:r w:rsidR="007D0323">
        <w:t>If this funding becomes recurrent, we will</w:t>
      </w:r>
      <w:r w:rsidR="00C432B8">
        <w:t xml:space="preserve"> </w:t>
      </w:r>
      <w:r w:rsidR="007D0323">
        <w:t>add it</w:t>
      </w:r>
      <w:r w:rsidR="00C432B8">
        <w:t xml:space="preserve"> in the next biennial budget</w:t>
      </w:r>
      <w:r w:rsidR="008C4DDD" w:rsidRPr="004234EF">
        <w:t xml:space="preserve">. </w:t>
      </w:r>
    </w:p>
    <w:p w14:paraId="660F2507" w14:textId="654EB460" w:rsidR="009164C3" w:rsidRDefault="009164C3" w:rsidP="00C17DA0">
      <w:pPr>
        <w:rPr>
          <w:b/>
          <w:bCs/>
        </w:rPr>
      </w:pPr>
    </w:p>
    <w:p w14:paraId="176AA54A" w14:textId="77777777" w:rsidR="002541F0" w:rsidRDefault="002541F0" w:rsidP="00C17DA0">
      <w:pPr>
        <w:rPr>
          <w:b/>
          <w:bCs/>
        </w:rPr>
      </w:pPr>
    </w:p>
    <w:p w14:paraId="0CA30EF8" w14:textId="609C44FA" w:rsidR="00832027" w:rsidRPr="00832027" w:rsidRDefault="00832027" w:rsidP="00C17DA0">
      <w:pPr>
        <w:rPr>
          <w:b/>
          <w:bCs/>
        </w:rPr>
      </w:pPr>
      <w:r>
        <w:rPr>
          <w:b/>
          <w:bCs/>
        </w:rPr>
        <w:t>Results</w:t>
      </w:r>
    </w:p>
    <w:p w14:paraId="5CB28A6E" w14:textId="61B160A4" w:rsidR="004234EF" w:rsidRDefault="007D0323" w:rsidP="00C17DA0">
      <w:r>
        <w:lastRenderedPageBreak/>
        <w:t xml:space="preserve">Although the Legislature had </w:t>
      </w:r>
      <w:hyperlink r:id="rId16" w:history="1">
        <w:r w:rsidR="00C432B8" w:rsidRPr="00C432B8">
          <w:rPr>
            <w:rStyle w:val="Hyperlink"/>
            <w:color w:val="0E57C4" w:themeColor="background2" w:themeShade="80"/>
          </w:rPr>
          <w:t>substantially more revenue available</w:t>
        </w:r>
      </w:hyperlink>
      <w:r w:rsidR="00C432B8">
        <w:t xml:space="preserve"> to appropriate throughout the regular and special sessions, t</w:t>
      </w:r>
      <w:r w:rsidR="00DE5C30" w:rsidRPr="004234EF">
        <w:t>he</w:t>
      </w:r>
      <w:r w:rsidR="00991BC7" w:rsidRPr="004234EF">
        <w:t xml:space="preserve"> </w:t>
      </w:r>
      <w:r w:rsidR="003D62C9" w:rsidRPr="004234EF">
        <w:t>2022</w:t>
      </w:r>
      <w:r w:rsidR="00F068E3">
        <w:t>–</w:t>
      </w:r>
      <w:r w:rsidR="003D62C9" w:rsidRPr="004234EF">
        <w:t xml:space="preserve">23 </w:t>
      </w:r>
      <w:r w:rsidR="00CA0E6B" w:rsidRPr="004234EF">
        <w:t>Texas budget is</w:t>
      </w:r>
      <w:r w:rsidR="008444BA" w:rsidRPr="004234EF">
        <w:t xml:space="preserve"> </w:t>
      </w:r>
      <w:r w:rsidR="00E1782E" w:rsidRPr="004234EF">
        <w:t xml:space="preserve">well </w:t>
      </w:r>
      <w:r w:rsidR="008444BA" w:rsidRPr="004234EF">
        <w:t xml:space="preserve">below </w:t>
      </w:r>
      <w:r w:rsidR="00C17DA0" w:rsidRPr="004234EF">
        <w:t>the CTB limit</w:t>
      </w:r>
      <w:r w:rsidR="008444BA" w:rsidRPr="004234EF">
        <w:t>s</w:t>
      </w:r>
      <w:r w:rsidR="00C17DA0" w:rsidRPr="004234EF">
        <w:t xml:space="preserve"> in state funds</w:t>
      </w:r>
      <w:r w:rsidR="001A5B35" w:rsidRPr="004234EF">
        <w:t xml:space="preserve"> </w:t>
      </w:r>
      <w:r w:rsidR="008444BA" w:rsidRPr="004234EF">
        <w:t>and all funds</w:t>
      </w:r>
      <w:r w:rsidR="001637CB" w:rsidRPr="004234EF">
        <w:t xml:space="preserve"> and </w:t>
      </w:r>
      <w:r w:rsidR="00CA0E6B" w:rsidRPr="004234EF">
        <w:t xml:space="preserve">leaves </w:t>
      </w:r>
      <w:r w:rsidR="009164C3">
        <w:t xml:space="preserve">more than </w:t>
      </w:r>
      <w:r w:rsidR="00CA0E6B" w:rsidRPr="00C432B8">
        <w:t>$1</w:t>
      </w:r>
      <w:r w:rsidR="00C432B8" w:rsidRPr="00C432B8">
        <w:t>2</w:t>
      </w:r>
      <w:r w:rsidR="00CA0E6B" w:rsidRPr="00C432B8">
        <w:t xml:space="preserve"> billion in the rainy day fund</w:t>
      </w:r>
      <w:r w:rsidR="00C17DA0" w:rsidRPr="004234EF">
        <w:t xml:space="preserve">. </w:t>
      </w:r>
      <w:r>
        <w:t>After e</w:t>
      </w:r>
      <w:r w:rsidRPr="004234EF">
        <w:t xml:space="preserve">xcluding </w:t>
      </w:r>
      <w:r w:rsidR="006F3939" w:rsidRPr="004234EF">
        <w:t xml:space="preserve">the </w:t>
      </w:r>
      <w:r w:rsidR="00EB1B65" w:rsidRPr="004234EF">
        <w:t>$6.1 billion</w:t>
      </w:r>
      <w:r w:rsidR="006F3939" w:rsidRPr="004234EF">
        <w:t xml:space="preserve"> to stop a massive property tax hike</w:t>
      </w:r>
      <w:r w:rsidR="00C432B8">
        <w:t xml:space="preserve"> and the $100 million to provide some Texans with property tax relief</w:t>
      </w:r>
      <w:r w:rsidR="006F3939" w:rsidRPr="004234EF">
        <w:t>,</w:t>
      </w:r>
      <w:r w:rsidR="00C432B8">
        <w:t xml:space="preserve"> as these amounts do not grow government,</w:t>
      </w:r>
      <w:r w:rsidR="006F3939" w:rsidRPr="004234EF">
        <w:t xml:space="preserve"> general revenue</w:t>
      </w:r>
      <w:r w:rsidR="00F51746" w:rsidRPr="004234EF">
        <w:t xml:space="preserve"> funds</w:t>
      </w:r>
      <w:r w:rsidR="006F3939" w:rsidRPr="004234EF">
        <w:t xml:space="preserve"> decline by </w:t>
      </w:r>
      <w:r w:rsidR="00C432B8">
        <w:t>0.3</w:t>
      </w:r>
      <w:r w:rsidR="006F3939" w:rsidRPr="004234EF">
        <w:t xml:space="preserve">% and state funds </w:t>
      </w:r>
      <w:r w:rsidR="003D62C9" w:rsidRPr="004234EF">
        <w:t>are</w:t>
      </w:r>
      <w:r w:rsidR="006F3939" w:rsidRPr="004234EF">
        <w:t xml:space="preserve"> up by </w:t>
      </w:r>
      <w:r w:rsidR="00C432B8">
        <w:t>2</w:t>
      </w:r>
      <w:r w:rsidR="006F3939" w:rsidRPr="004234EF">
        <w:t>.</w:t>
      </w:r>
      <w:r w:rsidR="00475EF8">
        <w:t>5</w:t>
      </w:r>
      <w:r w:rsidR="006F3939" w:rsidRPr="004234EF">
        <w:t xml:space="preserve">%. </w:t>
      </w:r>
      <w:r w:rsidR="00832027">
        <w:t>A</w:t>
      </w:r>
      <w:r w:rsidR="00EB1B65" w:rsidRPr="004234EF">
        <w:t xml:space="preserve">ll funds, which is the full footprint of the taxpayer’s burden to fund state government </w:t>
      </w:r>
      <w:r w:rsidR="00F51746" w:rsidRPr="004234EF">
        <w:t>appropriations</w:t>
      </w:r>
      <w:r w:rsidR="00EB1B65" w:rsidRPr="004234EF">
        <w:t>,</w:t>
      </w:r>
      <w:r w:rsidR="003D62C9" w:rsidRPr="004234EF">
        <w:t xml:space="preserve"> is up </w:t>
      </w:r>
      <w:r w:rsidR="00C432B8">
        <w:t>4.</w:t>
      </w:r>
      <w:r w:rsidR="00475EF8">
        <w:t>4</w:t>
      </w:r>
      <w:r w:rsidR="003D62C9" w:rsidRPr="004234EF">
        <w:t>% to $24</w:t>
      </w:r>
      <w:r w:rsidR="00C432B8">
        <w:t>5.</w:t>
      </w:r>
      <w:r w:rsidR="00475EF8">
        <w:t>3</w:t>
      </w:r>
      <w:r w:rsidR="003D62C9" w:rsidRPr="004234EF">
        <w:t xml:space="preserve"> billion</w:t>
      </w:r>
      <w:r w:rsidR="00276532">
        <w:rPr>
          <w:color w:val="000000"/>
          <w:sz w:val="27"/>
          <w:szCs w:val="27"/>
        </w:rPr>
        <w:t>—</w:t>
      </w:r>
      <w:r w:rsidR="007664A0">
        <w:t>0.</w:t>
      </w:r>
      <w:r w:rsidR="00475EF8">
        <w:t>6</w:t>
      </w:r>
      <w:r>
        <w:t xml:space="preserve"> </w:t>
      </w:r>
      <w:r w:rsidR="003D62C9" w:rsidRPr="004234EF">
        <w:t xml:space="preserve">percentage point </w:t>
      </w:r>
      <w:r w:rsidR="00276532">
        <w:t>or</w:t>
      </w:r>
      <w:r w:rsidR="00276532" w:rsidRPr="004234EF">
        <w:t xml:space="preserve"> $</w:t>
      </w:r>
      <w:r w:rsidR="00276532">
        <w:t>1.</w:t>
      </w:r>
      <w:r w:rsidR="00475EF8">
        <w:t>5</w:t>
      </w:r>
      <w:r w:rsidR="00276532" w:rsidRPr="004234EF">
        <w:t xml:space="preserve"> billion </w:t>
      </w:r>
      <w:r w:rsidR="003D62C9" w:rsidRPr="004234EF">
        <w:t xml:space="preserve">lower </w:t>
      </w:r>
      <w:r w:rsidR="00276532">
        <w:t>than</w:t>
      </w:r>
      <w:r w:rsidR="00276532" w:rsidRPr="00276532">
        <w:t xml:space="preserve"> </w:t>
      </w:r>
      <w:r w:rsidR="00276532" w:rsidRPr="004234EF">
        <w:t>population growth plus inflation</w:t>
      </w:r>
      <w:r w:rsidR="00832027">
        <w:t>, thereby leaving</w:t>
      </w:r>
      <w:r w:rsidR="00F8047E">
        <w:t xml:space="preserve"> unappropriated revenue on</w:t>
      </w:r>
      <w:r w:rsidR="00832027">
        <w:t xml:space="preserve"> the table</w:t>
      </w:r>
      <w:r w:rsidR="003D62C9" w:rsidRPr="004234EF">
        <w:t>.</w:t>
      </w:r>
      <w:r w:rsidR="008C4DDD" w:rsidRPr="004234EF">
        <w:t xml:space="preserve"> </w:t>
      </w:r>
    </w:p>
    <w:p w14:paraId="54DB8FA9" w14:textId="77777777" w:rsidR="00475EF8" w:rsidRDefault="00475EF8" w:rsidP="00C17DA0"/>
    <w:p w14:paraId="53D45137" w14:textId="34962DF8" w:rsidR="00832027" w:rsidRPr="00832027" w:rsidRDefault="00832027" w:rsidP="00C17DA0">
      <w:pPr>
        <w:rPr>
          <w:b/>
          <w:bCs/>
        </w:rPr>
      </w:pPr>
      <w:r>
        <w:rPr>
          <w:b/>
          <w:bCs/>
        </w:rPr>
        <w:t>Historical Comparison</w:t>
      </w:r>
    </w:p>
    <w:p w14:paraId="7E5D4296" w14:textId="1B26247A" w:rsidR="00454FB4" w:rsidRPr="004234EF" w:rsidRDefault="008C4DDD" w:rsidP="00C17DA0">
      <w:r w:rsidRPr="004234EF">
        <w:t xml:space="preserve">The </w:t>
      </w:r>
      <w:r w:rsidR="007664A0">
        <w:t xml:space="preserve">following figure shows </w:t>
      </w:r>
      <w:r w:rsidR="00276532">
        <w:t xml:space="preserve">that </w:t>
      </w:r>
      <w:r w:rsidR="007664A0">
        <w:t xml:space="preserve">the </w:t>
      </w:r>
      <w:r w:rsidRPr="004234EF">
        <w:t xml:space="preserve">growth of initial appropriations, on average, has been </w:t>
      </w:r>
      <w:r w:rsidR="00F51746" w:rsidRPr="004234EF">
        <w:t xml:space="preserve">well </w:t>
      </w:r>
      <w:r w:rsidRPr="004234EF">
        <w:t>below the average taxpayer’s abil</w:t>
      </w:r>
      <w:r w:rsidR="006F3939" w:rsidRPr="004234EF">
        <w:t xml:space="preserve">ity to pay for </w:t>
      </w:r>
      <w:r w:rsidRPr="004234EF">
        <w:t>them</w:t>
      </w:r>
      <w:r w:rsidR="006F3939" w:rsidRPr="004234EF">
        <w:t xml:space="preserve"> </w:t>
      </w:r>
      <w:r w:rsidR="00F51746" w:rsidRPr="004234EF">
        <w:t>over the last four budgets</w:t>
      </w:r>
      <w:r w:rsidR="006F3939" w:rsidRPr="004234EF">
        <w:t xml:space="preserve">, </w:t>
      </w:r>
      <w:r w:rsidR="00276532">
        <w:t>as compared with the prior six budgets.</w:t>
      </w:r>
      <w:r w:rsidR="00276532" w:rsidRPr="004234EF">
        <w:t xml:space="preserve"> </w:t>
      </w:r>
      <w:r w:rsidR="00276532">
        <w:t>The last four budget</w:t>
      </w:r>
      <w:r w:rsidR="00475EF8">
        <w:t>s</w:t>
      </w:r>
      <w:r w:rsidR="00276532" w:rsidRPr="004234EF">
        <w:t xml:space="preserve"> </w:t>
      </w:r>
      <w:r w:rsidR="006F3939" w:rsidRPr="004234EF">
        <w:t>w</w:t>
      </w:r>
      <w:r w:rsidR="007664A0">
        <w:t>ere</w:t>
      </w:r>
      <w:r w:rsidR="006F3939" w:rsidRPr="004234EF">
        <w:t xml:space="preserve"> </w:t>
      </w:r>
      <w:r w:rsidR="00276532">
        <w:t xml:space="preserve">passed </w:t>
      </w:r>
      <w:r w:rsidR="004234EF">
        <w:t>after</w:t>
      </w:r>
      <w:r w:rsidR="006F3939" w:rsidRPr="004234EF">
        <w:t xml:space="preserve"> the Foundation created the CTB</w:t>
      </w:r>
      <w:r w:rsidR="004234EF">
        <w:t xml:space="preserve"> in 2015</w:t>
      </w:r>
      <w:r w:rsidR="006F3939" w:rsidRPr="004234EF">
        <w:t xml:space="preserve">. </w:t>
      </w:r>
    </w:p>
    <w:p w14:paraId="51597E4C" w14:textId="714F13EE" w:rsidR="000D2331" w:rsidRPr="004234EF" w:rsidRDefault="000D2331" w:rsidP="00C17DA0"/>
    <w:p w14:paraId="01478C8E" w14:textId="781741CC" w:rsidR="00751A17" w:rsidRPr="00831DAA" w:rsidRDefault="00751A17" w:rsidP="00751A17">
      <w:pPr>
        <w:jc w:val="center"/>
        <w:rPr>
          <w:b/>
          <w:bCs/>
        </w:rPr>
      </w:pPr>
      <w:r w:rsidRPr="00831DAA">
        <w:rPr>
          <w:b/>
          <w:bCs/>
        </w:rPr>
        <w:t>Texas’ Budget Growth Has Slowed Since Creation of the CTB in 2015</w:t>
      </w:r>
    </w:p>
    <w:p w14:paraId="30E7E287" w14:textId="70590074" w:rsidR="00751A17" w:rsidRDefault="007664A0" w:rsidP="00751A17">
      <w:pPr>
        <w:jc w:val="center"/>
      </w:pPr>
      <w:r>
        <w:rPr>
          <w:noProof/>
        </w:rPr>
        <w:drawing>
          <wp:inline distT="0" distB="0" distL="0" distR="0" wp14:anchorId="2173614C" wp14:editId="2626CBEC">
            <wp:extent cx="4086225" cy="216217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BBAD13E-5A28-4838-B59B-BAA8D9A23B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EA1EB3" w14:textId="709C0074" w:rsidR="00751A17" w:rsidRPr="00831DAA" w:rsidRDefault="00751A17" w:rsidP="00751A17">
      <w:pPr>
        <w:rPr>
          <w:sz w:val="20"/>
          <w:szCs w:val="20"/>
        </w:rPr>
      </w:pPr>
      <w:r w:rsidRPr="00831DAA">
        <w:rPr>
          <w:sz w:val="20"/>
          <w:szCs w:val="20"/>
        </w:rPr>
        <w:t xml:space="preserve">Note: Data from </w:t>
      </w:r>
      <w:r w:rsidRPr="00831DAA">
        <w:rPr>
          <w:i/>
          <w:iCs/>
          <w:sz w:val="20"/>
          <w:szCs w:val="20"/>
        </w:rPr>
        <w:t>Fiscal Size-Up</w:t>
      </w:r>
      <w:r w:rsidRPr="00831DAA">
        <w:rPr>
          <w:sz w:val="20"/>
          <w:szCs w:val="20"/>
        </w:rPr>
        <w:t>, Legislative Budget Board</w:t>
      </w:r>
      <w:r w:rsidR="00F8047E">
        <w:rPr>
          <w:sz w:val="20"/>
          <w:szCs w:val="20"/>
        </w:rPr>
        <w:t>, n.d.</w:t>
      </w:r>
      <w:r w:rsidRPr="00831DAA">
        <w:rPr>
          <w:sz w:val="20"/>
          <w:szCs w:val="20"/>
        </w:rPr>
        <w:t xml:space="preserve"> (</w:t>
      </w:r>
      <w:hyperlink r:id="rId18" w:history="1">
        <w:r w:rsidR="00F8047E" w:rsidRPr="00F8047E">
          <w:rPr>
            <w:rStyle w:val="Hyperlink"/>
            <w:sz w:val="20"/>
            <w:szCs w:val="20"/>
          </w:rPr>
          <w:t>https://www.lbb.state.tx.us/FSU.aspx</w:t>
        </w:r>
      </w:hyperlink>
      <w:r w:rsidRPr="00831DAA">
        <w:rPr>
          <w:sz w:val="20"/>
          <w:szCs w:val="20"/>
        </w:rPr>
        <w:t>) and authors’ calculations of average biennial growth.</w:t>
      </w:r>
    </w:p>
    <w:p w14:paraId="0C024C6E" w14:textId="77777777" w:rsidR="00454FB4" w:rsidRPr="004234EF" w:rsidRDefault="00454FB4" w:rsidP="00C17DA0"/>
    <w:p w14:paraId="2277AAF3" w14:textId="081F15AB" w:rsidR="00832027" w:rsidRPr="00832027" w:rsidRDefault="00832027" w:rsidP="00C17DA0">
      <w:pPr>
        <w:rPr>
          <w:b/>
          <w:bCs/>
        </w:rPr>
      </w:pPr>
      <w:r>
        <w:rPr>
          <w:b/>
          <w:bCs/>
        </w:rPr>
        <w:t>Outcome</w:t>
      </w:r>
    </w:p>
    <w:p w14:paraId="25B20390" w14:textId="2FFC83FE" w:rsidR="00751A17" w:rsidRDefault="004234EF" w:rsidP="00C17DA0">
      <w:r>
        <w:t xml:space="preserve">The Texas Legislature’s </w:t>
      </w:r>
      <w:r w:rsidRPr="00751A17">
        <w:t>practice of fiscal restraint</w:t>
      </w:r>
      <w:r>
        <w:t xml:space="preserve"> while meeting the needs of the state </w:t>
      </w:r>
      <w:r w:rsidR="00F51746" w:rsidRPr="004234EF">
        <w:t>is good news for Texans.</w:t>
      </w:r>
      <w:r>
        <w:t xml:space="preserve"> </w:t>
      </w:r>
      <w:r w:rsidR="005B499C">
        <w:t xml:space="preserve">Additionally, </w:t>
      </w:r>
      <w:r w:rsidR="007664A0">
        <w:t xml:space="preserve">the </w:t>
      </w:r>
      <w:r w:rsidR="005B499C">
        <w:t>87</w:t>
      </w:r>
      <w:r w:rsidR="005B499C" w:rsidRPr="005B499C">
        <w:t>th</w:t>
      </w:r>
      <w:r w:rsidR="005B499C">
        <w:t xml:space="preserve"> </w:t>
      </w:r>
      <w:r w:rsidR="007664A0">
        <w:t xml:space="preserve">Legislature passed </w:t>
      </w:r>
      <w:hyperlink r:id="rId19" w:history="1">
        <w:r w:rsidR="007664A0" w:rsidRPr="007664A0">
          <w:rPr>
            <w:rStyle w:val="Hyperlink"/>
            <w:color w:val="0E57C4" w:themeColor="background2" w:themeShade="80"/>
          </w:rPr>
          <w:t>SB 1336</w:t>
        </w:r>
      </w:hyperlink>
      <w:r w:rsidR="00F8047E">
        <w:t xml:space="preserve">, </w:t>
      </w:r>
      <w:r w:rsidR="005B499C">
        <w:t xml:space="preserve">which put into statute </w:t>
      </w:r>
      <w:r>
        <w:t xml:space="preserve">much of the </w:t>
      </w:r>
      <w:r w:rsidR="007664A0">
        <w:t xml:space="preserve">fiscal rule used in the </w:t>
      </w:r>
      <w:r>
        <w:t>CTB</w:t>
      </w:r>
      <w:r w:rsidR="007664A0">
        <w:t xml:space="preserve">. This change </w:t>
      </w:r>
      <w:hyperlink r:id="rId20" w:history="1">
        <w:r w:rsidR="007664A0" w:rsidRPr="00832027">
          <w:rPr>
            <w:rStyle w:val="Hyperlink"/>
            <w:color w:val="0E57C4" w:themeColor="background2" w:themeShade="80"/>
          </w:rPr>
          <w:t>strengthened</w:t>
        </w:r>
        <w:r w:rsidRPr="00832027">
          <w:rPr>
            <w:rStyle w:val="Hyperlink"/>
            <w:color w:val="0E57C4" w:themeColor="background2" w:themeShade="80"/>
          </w:rPr>
          <w:t xml:space="preserve"> the state’s spending limit</w:t>
        </w:r>
      </w:hyperlink>
      <w:r>
        <w:t xml:space="preserve"> by expanding the base </w:t>
      </w:r>
      <w:r w:rsidR="007664A0">
        <w:t>from general revenue not dedicated by the Texas Constitution to</w:t>
      </w:r>
      <w:r>
        <w:t xml:space="preserve"> all general revenue funds</w:t>
      </w:r>
      <w:r w:rsidR="007664A0">
        <w:t xml:space="preserve"> (5</w:t>
      </w:r>
      <w:r w:rsidR="00832027">
        <w:t>0</w:t>
      </w:r>
      <w:r w:rsidR="007664A0">
        <w:t xml:space="preserve">% of </w:t>
      </w:r>
      <w:r w:rsidR="00832027">
        <w:t xml:space="preserve">the </w:t>
      </w:r>
      <w:r w:rsidR="007664A0">
        <w:t xml:space="preserve">budget), </w:t>
      </w:r>
      <w:r w:rsidR="005B499C">
        <w:t xml:space="preserve">by </w:t>
      </w:r>
      <w:r w:rsidR="007664A0">
        <w:t>changing</w:t>
      </w:r>
      <w:r>
        <w:t xml:space="preserve"> the limit </w:t>
      </w:r>
      <w:r w:rsidR="007664A0">
        <w:t>from personal income growt</w:t>
      </w:r>
      <w:r w:rsidR="00832027">
        <w:t>h</w:t>
      </w:r>
      <w:r w:rsidR="007664A0">
        <w:t xml:space="preserve"> </w:t>
      </w:r>
      <w:r>
        <w:t>to population growth times inflation</w:t>
      </w:r>
      <w:r w:rsidR="005B499C">
        <w:rPr>
          <w:color w:val="000000"/>
          <w:sz w:val="27"/>
          <w:szCs w:val="27"/>
        </w:rPr>
        <w:t>—</w:t>
      </w:r>
      <w:r w:rsidR="00DB6B73">
        <w:t xml:space="preserve">calculated </w:t>
      </w:r>
      <w:r w:rsidR="005B499C">
        <w:t xml:space="preserve">as </w:t>
      </w:r>
      <w:r w:rsidR="007664A0">
        <w:t>(1+pop)*(1+inf)</w:t>
      </w:r>
      <w:r w:rsidR="005B499C">
        <w:rPr>
          <w:color w:val="000000"/>
          <w:sz w:val="27"/>
          <w:szCs w:val="27"/>
        </w:rPr>
        <w:t>—</w:t>
      </w:r>
      <w:r w:rsidR="007664A0">
        <w:t xml:space="preserve">and </w:t>
      </w:r>
      <w:r w:rsidR="005B499C">
        <w:t xml:space="preserve">by </w:t>
      </w:r>
      <w:r>
        <w:t xml:space="preserve">increasing the </w:t>
      </w:r>
      <w:r w:rsidR="007664A0">
        <w:t xml:space="preserve">voting </w:t>
      </w:r>
      <w:r>
        <w:t xml:space="preserve">threshold to exceed </w:t>
      </w:r>
      <w:r w:rsidR="007664A0">
        <w:t xml:space="preserve">the limit from a simple majority vote </w:t>
      </w:r>
      <w:r>
        <w:t>to a</w:t>
      </w:r>
      <w:r w:rsidR="007664A0">
        <w:t xml:space="preserve"> supermajority</w:t>
      </w:r>
      <w:r>
        <w:t xml:space="preserve"> three-fifths </w:t>
      </w:r>
      <w:r w:rsidR="007664A0">
        <w:t>vote</w:t>
      </w:r>
      <w:r>
        <w:t xml:space="preserve"> in each chamber. After the Foundation has worked toward this statutory change for multiple sessions, </w:t>
      </w:r>
      <w:r w:rsidR="00751A17">
        <w:t xml:space="preserve">this is a </w:t>
      </w:r>
      <w:hyperlink r:id="rId21" w:history="1">
        <w:r w:rsidR="00751A17" w:rsidRPr="007664A0">
          <w:rPr>
            <w:rStyle w:val="Hyperlink"/>
            <w:color w:val="0E57C4" w:themeColor="background2" w:themeShade="80"/>
          </w:rPr>
          <w:t>huge feat that will have long-lasting benefits to Texans</w:t>
        </w:r>
      </w:hyperlink>
      <w:r w:rsidR="00751A17">
        <w:t>.</w:t>
      </w:r>
      <w:r w:rsidR="00F51746" w:rsidRPr="004234EF">
        <w:t xml:space="preserve"> </w:t>
      </w:r>
    </w:p>
    <w:p w14:paraId="4F385C26" w14:textId="77777777" w:rsidR="00751A17" w:rsidRDefault="00751A17" w:rsidP="00C17DA0"/>
    <w:p w14:paraId="27419822" w14:textId="63A54AD8" w:rsidR="00832027" w:rsidRPr="00832027" w:rsidRDefault="00832027" w:rsidP="00C17DA0">
      <w:pPr>
        <w:rPr>
          <w:b/>
          <w:bCs/>
        </w:rPr>
      </w:pPr>
      <w:r>
        <w:rPr>
          <w:b/>
          <w:bCs/>
        </w:rPr>
        <w:t>Recommendation</w:t>
      </w:r>
    </w:p>
    <w:p w14:paraId="7102FB7F" w14:textId="14C3B337" w:rsidR="00F14299" w:rsidRPr="004234EF" w:rsidRDefault="006F3939" w:rsidP="00C17DA0">
      <w:r w:rsidRPr="004234EF">
        <w:t xml:space="preserve">We </w:t>
      </w:r>
      <w:r w:rsidR="00454FB4" w:rsidRPr="004234EF">
        <w:t>encourage</w:t>
      </w:r>
      <w:r w:rsidRPr="004234EF">
        <w:t xml:space="preserve"> Gov</w:t>
      </w:r>
      <w:r w:rsidR="00751A17">
        <w:t>.</w:t>
      </w:r>
      <w:r w:rsidRPr="004234EF">
        <w:t xml:space="preserve"> </w:t>
      </w:r>
      <w:r w:rsidR="00751A17">
        <w:t xml:space="preserve">Greg </w:t>
      </w:r>
      <w:r w:rsidRPr="004234EF">
        <w:t>Abbott</w:t>
      </w:r>
      <w:r w:rsidR="00832027">
        <w:t>, Lt. Gov. Dan Patrick, Speaker Dade Phelan,</w:t>
      </w:r>
      <w:r w:rsidR="007664A0">
        <w:t xml:space="preserve"> and the Legislature</w:t>
      </w:r>
      <w:r w:rsidRPr="004234EF">
        <w:t xml:space="preserve"> </w:t>
      </w:r>
      <w:r w:rsidR="008C4DDD" w:rsidRPr="004234EF">
        <w:t>to</w:t>
      </w:r>
      <w:r w:rsidR="00751A17">
        <w:t xml:space="preserve"> build on these </w:t>
      </w:r>
      <w:hyperlink r:id="rId22" w:history="1">
        <w:r w:rsidR="00751A17" w:rsidRPr="00AB61F3">
          <w:rPr>
            <w:rStyle w:val="Hyperlink"/>
            <w:color w:val="0E57C4" w:themeColor="background2" w:themeShade="80"/>
          </w:rPr>
          <w:t>policy wins and more</w:t>
        </w:r>
      </w:hyperlink>
      <w:r w:rsidR="00751A17">
        <w:t xml:space="preserve"> by providing</w:t>
      </w:r>
      <w:r w:rsidR="00454FB4" w:rsidRPr="004234EF">
        <w:t xml:space="preserve"> </w:t>
      </w:r>
      <w:r w:rsidR="00F51746" w:rsidRPr="004234EF">
        <w:t>paths</w:t>
      </w:r>
      <w:r w:rsidR="00454FB4" w:rsidRPr="004234EF">
        <w:t xml:space="preserve"> for</w:t>
      </w:r>
      <w:r w:rsidRPr="004234EF">
        <w:t xml:space="preserve"> </w:t>
      </w:r>
      <w:r w:rsidR="008C4DDD" w:rsidRPr="004234EF">
        <w:t xml:space="preserve">more fiscal gains—such as </w:t>
      </w:r>
      <w:hyperlink r:id="rId23" w:history="1">
        <w:r w:rsidR="007664A0" w:rsidRPr="00832027">
          <w:rPr>
            <w:rStyle w:val="Hyperlink"/>
            <w:color w:val="0E57C4" w:themeColor="background2" w:themeShade="80"/>
          </w:rPr>
          <w:t>eliminating property taxes</w:t>
        </w:r>
        <w:r w:rsidR="00EB1B65" w:rsidRPr="00832027">
          <w:rPr>
            <w:rStyle w:val="Hyperlink"/>
            <w:color w:val="0E57C4" w:themeColor="background2" w:themeShade="80"/>
          </w:rPr>
          <w:t xml:space="preserve"> and </w:t>
        </w:r>
        <w:r w:rsidR="00832027">
          <w:rPr>
            <w:rStyle w:val="Hyperlink"/>
            <w:color w:val="0E57C4" w:themeColor="background2" w:themeShade="80"/>
          </w:rPr>
          <w:t>imposing</w:t>
        </w:r>
        <w:r w:rsidR="00EB1B65" w:rsidRPr="00832027">
          <w:rPr>
            <w:rStyle w:val="Hyperlink"/>
            <w:color w:val="0E57C4" w:themeColor="background2" w:themeShade="80"/>
          </w:rPr>
          <w:t xml:space="preserve"> local </w:t>
        </w:r>
        <w:r w:rsidR="007664A0" w:rsidRPr="00832027">
          <w:rPr>
            <w:rStyle w:val="Hyperlink"/>
            <w:color w:val="0E57C4" w:themeColor="background2" w:themeShade="80"/>
          </w:rPr>
          <w:t>spending</w:t>
        </w:r>
        <w:r w:rsidR="00EB1B65" w:rsidRPr="00832027">
          <w:rPr>
            <w:rStyle w:val="Hyperlink"/>
            <w:color w:val="0E57C4" w:themeColor="background2" w:themeShade="80"/>
          </w:rPr>
          <w:t xml:space="preserve"> limitations</w:t>
        </w:r>
      </w:hyperlink>
      <w:r w:rsidR="00DB6B73">
        <w:rPr>
          <w:color w:val="0E57C4" w:themeColor="background2" w:themeShade="80"/>
        </w:rPr>
        <w:t xml:space="preserve"> </w:t>
      </w:r>
      <w:r w:rsidR="00DB6B73">
        <w:t xml:space="preserve">and </w:t>
      </w:r>
      <w:hyperlink r:id="rId24" w:history="1">
        <w:r w:rsidR="00DB6B73" w:rsidRPr="00DB6B73">
          <w:rPr>
            <w:rStyle w:val="Hyperlink"/>
            <w:color w:val="0E57C4" w:themeColor="background2" w:themeShade="80"/>
          </w:rPr>
          <w:t xml:space="preserve">responsibly appropriating </w:t>
        </w:r>
        <w:r w:rsidR="00475EF8">
          <w:rPr>
            <w:rStyle w:val="Hyperlink"/>
            <w:color w:val="0E57C4" w:themeColor="background2" w:themeShade="80"/>
          </w:rPr>
          <w:t xml:space="preserve">all </w:t>
        </w:r>
        <w:r w:rsidR="00DB6B73" w:rsidRPr="00DB6B73">
          <w:rPr>
            <w:rStyle w:val="Hyperlink"/>
            <w:color w:val="0E57C4" w:themeColor="background2" w:themeShade="80"/>
          </w:rPr>
          <w:t>federal funds</w:t>
        </w:r>
      </w:hyperlink>
      <w:r w:rsidR="00832027">
        <w:t>—so that Texa</w:t>
      </w:r>
      <w:r w:rsidR="005B499C">
        <w:t>n</w:t>
      </w:r>
      <w:r w:rsidR="00832027">
        <w:t xml:space="preserve">s have </w:t>
      </w:r>
      <w:r w:rsidR="00394D50">
        <w:t xml:space="preserve">even </w:t>
      </w:r>
      <w:r w:rsidR="00832027">
        <w:t>more opportunities to prosper</w:t>
      </w:r>
      <w:r w:rsidR="00DE5C30" w:rsidRPr="004234EF">
        <w:t>.</w:t>
      </w:r>
      <w:r w:rsidR="00C17DA0" w:rsidRPr="004234EF">
        <w:br/>
      </w:r>
    </w:p>
    <w:sectPr w:rsidR="00F14299" w:rsidRPr="004234EF" w:rsidSect="00B716FF">
      <w:footerReference w:type="default" r:id="rId25"/>
      <w:headerReference w:type="first" r:id="rId26"/>
      <w:footerReference w:type="first" r:id="rId27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C35B" w14:textId="77777777" w:rsidR="00A27E97" w:rsidRDefault="00A27E97">
      <w:r>
        <w:separator/>
      </w:r>
    </w:p>
  </w:endnote>
  <w:endnote w:type="continuationSeparator" w:id="0">
    <w:p w14:paraId="010F7B9D" w14:textId="77777777" w:rsidR="00A27E97" w:rsidRDefault="00A2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81E3" w14:textId="77777777" w:rsidR="004234EF" w:rsidRDefault="004234EF" w:rsidP="004234EF">
    <w:pPr>
      <w:pStyle w:val="Footer"/>
      <w:tabs>
        <w:tab w:val="clear" w:pos="9360"/>
      </w:tabs>
      <w:ind w:left="-720" w:right="-720"/>
      <w:jc w:val="center"/>
    </w:pPr>
    <w:r w:rsidRPr="0012409F">
      <w:rPr>
        <w:sz w:val="18"/>
        <w:szCs w:val="18"/>
      </w:rPr>
      <w:t xml:space="preserve">901 Congress Avenue | Austin, Texas 78701 | (512) 472-2700 | (512) 472-2728 fax | </w:t>
    </w:r>
    <w:hyperlink r:id="rId1" w:history="1">
      <w:r w:rsidRPr="0012409F">
        <w:rPr>
          <w:rStyle w:val="Hyperlink"/>
          <w:sz w:val="18"/>
          <w:szCs w:val="18"/>
        </w:rPr>
        <w:t>www.TexasPolicy.com</w:t>
      </w:r>
    </w:hyperlink>
    <w:r w:rsidRPr="0012409F">
      <w:rPr>
        <w:sz w:val="18"/>
        <w:szCs w:val="18"/>
      </w:rPr>
      <w:t xml:space="preserve"> | Email: </w:t>
    </w:r>
    <w:hyperlink r:id="rId2" w:history="1">
      <w:r w:rsidRPr="0012409F">
        <w:rPr>
          <w:rStyle w:val="Hyperlink"/>
          <w:sz w:val="18"/>
          <w:szCs w:val="18"/>
        </w:rPr>
        <w:t>vginn@texaspolicy.com</w:t>
      </w:r>
    </w:hyperlink>
  </w:p>
  <w:p w14:paraId="1A5F6AC0" w14:textId="77777777" w:rsidR="009776B8" w:rsidRPr="004234EF" w:rsidRDefault="009776B8" w:rsidP="00423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0497" w14:textId="77777777" w:rsidR="00BC00B5" w:rsidRDefault="00BC00B5" w:rsidP="00BF4870">
    <w:pPr>
      <w:pStyle w:val="Footer"/>
      <w:tabs>
        <w:tab w:val="clear" w:pos="4680"/>
        <w:tab w:val="clear" w:pos="9360"/>
        <w:tab w:val="left" w:pos="277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9D0A" w14:textId="77777777" w:rsidR="00A27E97" w:rsidRDefault="00A27E97">
      <w:r>
        <w:separator/>
      </w:r>
    </w:p>
  </w:footnote>
  <w:footnote w:type="continuationSeparator" w:id="0">
    <w:p w14:paraId="5E112A14" w14:textId="77777777" w:rsidR="00A27E97" w:rsidRDefault="00A2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E27B" w14:textId="18760FB0" w:rsidR="00BC00B5" w:rsidRDefault="00BC00B5" w:rsidP="00BC00B5">
    <w:pPr>
      <w:pStyle w:val="Header"/>
      <w:jc w:val="center"/>
    </w:pPr>
    <w:r>
      <w:rPr>
        <w:noProof/>
      </w:rPr>
      <w:drawing>
        <wp:inline distT="0" distB="0" distL="0" distR="0" wp14:anchorId="526B6417" wp14:editId="7CEBA00B">
          <wp:extent cx="3200400" cy="67957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679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48FB5" w14:textId="6C6E9038" w:rsidR="00AB61F3" w:rsidRPr="00AB61F3" w:rsidRDefault="00AB61F3" w:rsidP="00BC00B5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Updated </w:t>
    </w:r>
    <w:r w:rsidR="009164C3">
      <w:rPr>
        <w:sz w:val="22"/>
        <w:szCs w:val="22"/>
      </w:rPr>
      <w:t>February 8,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EFE1A5"/>
    <w:multiLevelType w:val="hybridMultilevel"/>
    <w:tmpl w:val="A784B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F46C0C"/>
    <w:multiLevelType w:val="hybridMultilevel"/>
    <w:tmpl w:val="610B15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FC1CE9"/>
    <w:multiLevelType w:val="hybridMultilevel"/>
    <w:tmpl w:val="93E195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A01A62"/>
    <w:multiLevelType w:val="hybridMultilevel"/>
    <w:tmpl w:val="B4743788"/>
    <w:styleLink w:val="ImportedStyle1"/>
    <w:lvl w:ilvl="0" w:tplc="D70CA3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258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695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43F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AE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2E2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4C3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7A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6B1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E0008F"/>
    <w:multiLevelType w:val="hybridMultilevel"/>
    <w:tmpl w:val="1A1C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22F13"/>
    <w:multiLevelType w:val="hybridMultilevel"/>
    <w:tmpl w:val="66D8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12BCF"/>
    <w:multiLevelType w:val="hybridMultilevel"/>
    <w:tmpl w:val="B4743788"/>
    <w:numStyleLink w:val="ImportedStyle1"/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wMDe3NDG3NLUwNTBT0lEKTi0uzszPAykwNKsFAF+lCQYtAAAA"/>
  </w:docVars>
  <w:rsids>
    <w:rsidRoot w:val="00CC2BD9"/>
    <w:rsid w:val="00012736"/>
    <w:rsid w:val="000147A1"/>
    <w:rsid w:val="00015E2F"/>
    <w:rsid w:val="000612B5"/>
    <w:rsid w:val="0006206A"/>
    <w:rsid w:val="000851D8"/>
    <w:rsid w:val="00086EBA"/>
    <w:rsid w:val="000B6C5A"/>
    <w:rsid w:val="000D2331"/>
    <w:rsid w:val="000E5A78"/>
    <w:rsid w:val="00106128"/>
    <w:rsid w:val="00121990"/>
    <w:rsid w:val="0014670C"/>
    <w:rsid w:val="001637CB"/>
    <w:rsid w:val="00170EAA"/>
    <w:rsid w:val="00191833"/>
    <w:rsid w:val="001A5B35"/>
    <w:rsid w:val="001C00BF"/>
    <w:rsid w:val="001C0F0E"/>
    <w:rsid w:val="001D7D87"/>
    <w:rsid w:val="002541F0"/>
    <w:rsid w:val="002763D2"/>
    <w:rsid w:val="00276532"/>
    <w:rsid w:val="00292A03"/>
    <w:rsid w:val="00292C72"/>
    <w:rsid w:val="002A15B7"/>
    <w:rsid w:val="002B0F44"/>
    <w:rsid w:val="002B13EF"/>
    <w:rsid w:val="002C3E9F"/>
    <w:rsid w:val="002C5FCF"/>
    <w:rsid w:val="002C7CD4"/>
    <w:rsid w:val="002D035C"/>
    <w:rsid w:val="002D0EB7"/>
    <w:rsid w:val="002D59E1"/>
    <w:rsid w:val="002E6E0C"/>
    <w:rsid w:val="00317EBC"/>
    <w:rsid w:val="00352FDD"/>
    <w:rsid w:val="00370EC0"/>
    <w:rsid w:val="00383FF4"/>
    <w:rsid w:val="0038466E"/>
    <w:rsid w:val="00394D50"/>
    <w:rsid w:val="003954E9"/>
    <w:rsid w:val="003A5256"/>
    <w:rsid w:val="003B7C42"/>
    <w:rsid w:val="003C292B"/>
    <w:rsid w:val="003D62C9"/>
    <w:rsid w:val="003D73F1"/>
    <w:rsid w:val="003E5D6D"/>
    <w:rsid w:val="003E6D10"/>
    <w:rsid w:val="003F4552"/>
    <w:rsid w:val="004234EF"/>
    <w:rsid w:val="0044140B"/>
    <w:rsid w:val="00454FB4"/>
    <w:rsid w:val="00473259"/>
    <w:rsid w:val="0047427F"/>
    <w:rsid w:val="00475EF8"/>
    <w:rsid w:val="0048140A"/>
    <w:rsid w:val="004A0452"/>
    <w:rsid w:val="004A1153"/>
    <w:rsid w:val="004A20F4"/>
    <w:rsid w:val="004B1903"/>
    <w:rsid w:val="004C0D19"/>
    <w:rsid w:val="004C4400"/>
    <w:rsid w:val="004D0F8D"/>
    <w:rsid w:val="004F7260"/>
    <w:rsid w:val="005229B6"/>
    <w:rsid w:val="0054122E"/>
    <w:rsid w:val="0054682A"/>
    <w:rsid w:val="005701C3"/>
    <w:rsid w:val="00573A89"/>
    <w:rsid w:val="005947CC"/>
    <w:rsid w:val="0059554D"/>
    <w:rsid w:val="005A5781"/>
    <w:rsid w:val="005A6FD8"/>
    <w:rsid w:val="005B099A"/>
    <w:rsid w:val="005B499C"/>
    <w:rsid w:val="005D231A"/>
    <w:rsid w:val="005D38A2"/>
    <w:rsid w:val="005D6608"/>
    <w:rsid w:val="005E6A57"/>
    <w:rsid w:val="005F4F4A"/>
    <w:rsid w:val="00601A84"/>
    <w:rsid w:val="006113E3"/>
    <w:rsid w:val="00611F74"/>
    <w:rsid w:val="00647DB1"/>
    <w:rsid w:val="00675E9E"/>
    <w:rsid w:val="006878A7"/>
    <w:rsid w:val="006A0710"/>
    <w:rsid w:val="006C1651"/>
    <w:rsid w:val="006C3D21"/>
    <w:rsid w:val="006F0602"/>
    <w:rsid w:val="006F3939"/>
    <w:rsid w:val="00731428"/>
    <w:rsid w:val="007353BA"/>
    <w:rsid w:val="007362FE"/>
    <w:rsid w:val="007473C2"/>
    <w:rsid w:val="00751A17"/>
    <w:rsid w:val="00753686"/>
    <w:rsid w:val="00760FD5"/>
    <w:rsid w:val="007664A0"/>
    <w:rsid w:val="00772126"/>
    <w:rsid w:val="007C616D"/>
    <w:rsid w:val="007D0323"/>
    <w:rsid w:val="007D0CEE"/>
    <w:rsid w:val="007D3E79"/>
    <w:rsid w:val="0081412C"/>
    <w:rsid w:val="00832027"/>
    <w:rsid w:val="008444BA"/>
    <w:rsid w:val="008519EE"/>
    <w:rsid w:val="00891442"/>
    <w:rsid w:val="008A03D4"/>
    <w:rsid w:val="008C08D9"/>
    <w:rsid w:val="008C43DE"/>
    <w:rsid w:val="008C4DDD"/>
    <w:rsid w:val="008C795B"/>
    <w:rsid w:val="008E1DCD"/>
    <w:rsid w:val="008E249A"/>
    <w:rsid w:val="009164C3"/>
    <w:rsid w:val="009205E3"/>
    <w:rsid w:val="00940A49"/>
    <w:rsid w:val="009539E1"/>
    <w:rsid w:val="0095716E"/>
    <w:rsid w:val="009776B8"/>
    <w:rsid w:val="00991BC7"/>
    <w:rsid w:val="00993E8E"/>
    <w:rsid w:val="009A7E90"/>
    <w:rsid w:val="009D14EF"/>
    <w:rsid w:val="009D77E9"/>
    <w:rsid w:val="009E10B8"/>
    <w:rsid w:val="00A04491"/>
    <w:rsid w:val="00A10EF4"/>
    <w:rsid w:val="00A27E97"/>
    <w:rsid w:val="00A6254C"/>
    <w:rsid w:val="00A65119"/>
    <w:rsid w:val="00A67608"/>
    <w:rsid w:val="00AB4D98"/>
    <w:rsid w:val="00AB555E"/>
    <w:rsid w:val="00AB61F3"/>
    <w:rsid w:val="00AF2339"/>
    <w:rsid w:val="00AF644E"/>
    <w:rsid w:val="00AF65A1"/>
    <w:rsid w:val="00B00AAC"/>
    <w:rsid w:val="00B25E6E"/>
    <w:rsid w:val="00B25FD9"/>
    <w:rsid w:val="00B27221"/>
    <w:rsid w:val="00B34156"/>
    <w:rsid w:val="00B66FE7"/>
    <w:rsid w:val="00B716FF"/>
    <w:rsid w:val="00BA07FC"/>
    <w:rsid w:val="00BB1688"/>
    <w:rsid w:val="00BB3558"/>
    <w:rsid w:val="00BC00B5"/>
    <w:rsid w:val="00BE4772"/>
    <w:rsid w:val="00BE7CA6"/>
    <w:rsid w:val="00BF1D57"/>
    <w:rsid w:val="00BF4870"/>
    <w:rsid w:val="00C05249"/>
    <w:rsid w:val="00C17DA0"/>
    <w:rsid w:val="00C432B8"/>
    <w:rsid w:val="00C71FFD"/>
    <w:rsid w:val="00C902F5"/>
    <w:rsid w:val="00CA0E6B"/>
    <w:rsid w:val="00CA215E"/>
    <w:rsid w:val="00CC2BD9"/>
    <w:rsid w:val="00CF0BA5"/>
    <w:rsid w:val="00CF4BD9"/>
    <w:rsid w:val="00D06A2B"/>
    <w:rsid w:val="00D13F9F"/>
    <w:rsid w:val="00D3059B"/>
    <w:rsid w:val="00D30F71"/>
    <w:rsid w:val="00D6716A"/>
    <w:rsid w:val="00D7795E"/>
    <w:rsid w:val="00D901DD"/>
    <w:rsid w:val="00DA633A"/>
    <w:rsid w:val="00DB6B73"/>
    <w:rsid w:val="00DB779A"/>
    <w:rsid w:val="00DD5864"/>
    <w:rsid w:val="00DD5993"/>
    <w:rsid w:val="00DE5C30"/>
    <w:rsid w:val="00DF3097"/>
    <w:rsid w:val="00E06658"/>
    <w:rsid w:val="00E0769C"/>
    <w:rsid w:val="00E132E2"/>
    <w:rsid w:val="00E1782E"/>
    <w:rsid w:val="00E34E19"/>
    <w:rsid w:val="00E43845"/>
    <w:rsid w:val="00E44E11"/>
    <w:rsid w:val="00E524A0"/>
    <w:rsid w:val="00E56785"/>
    <w:rsid w:val="00E8364C"/>
    <w:rsid w:val="00E90D61"/>
    <w:rsid w:val="00E9286C"/>
    <w:rsid w:val="00EA33C1"/>
    <w:rsid w:val="00EB1B65"/>
    <w:rsid w:val="00EB6217"/>
    <w:rsid w:val="00F0457E"/>
    <w:rsid w:val="00F068E3"/>
    <w:rsid w:val="00F128DE"/>
    <w:rsid w:val="00F14299"/>
    <w:rsid w:val="00F2002E"/>
    <w:rsid w:val="00F335C6"/>
    <w:rsid w:val="00F50A36"/>
    <w:rsid w:val="00F51746"/>
    <w:rsid w:val="00F61366"/>
    <w:rsid w:val="00F62B55"/>
    <w:rsid w:val="00F8047E"/>
    <w:rsid w:val="00F83D80"/>
    <w:rsid w:val="00F91953"/>
    <w:rsid w:val="00FC270C"/>
    <w:rsid w:val="00FC513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B6A5B"/>
  <w15:docId w15:val="{0BE2242B-6F6C-45C2-90B1-632A21C0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52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F335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customStyle="1" w:styleId="Default">
    <w:name w:val="Default"/>
    <w:rsid w:val="00F613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6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6B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28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10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1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0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0B8"/>
    <w:rPr>
      <w:b/>
      <w:bCs/>
    </w:rPr>
  </w:style>
  <w:style w:type="paragraph" w:styleId="ListParagraph">
    <w:name w:val="List Paragraph"/>
    <w:basedOn w:val="Normal"/>
    <w:uiPriority w:val="34"/>
    <w:qFormat/>
    <w:rsid w:val="005E6A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772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b.state.tx.us/Documents/Publications/Fiscal_SizeUp/Fiscal_SizeUp_2020-21.pdf" TargetMode="External"/><Relationship Id="rId13" Type="http://schemas.openxmlformats.org/officeDocument/2006/relationships/hyperlink" Target="https://www.janenelson.org/post/education-public-safety-critical-services-prioritized-in-final-state-budget" TargetMode="External"/><Relationship Id="rId18" Type="http://schemas.openxmlformats.org/officeDocument/2006/relationships/hyperlink" Target="https://www.lbb.state.tx.us/FSU.asp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hecannononline.com/conservative-texas-budget-helps-keep-texas-tex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bb.texas.gov/Documents/Appropriations_Bills/87/Final/6999_Special_Summary_Appropriations.pdf" TargetMode="External"/><Relationship Id="rId17" Type="http://schemas.openxmlformats.org/officeDocument/2006/relationships/chart" Target="charts/chart1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omptroller.texas.gov/about/media-center/news/20210707-texas-comptroller-glenn-hegar-releases-revenue-estimate-projects-a-fiscal-2022-23-ending-balance-of-785-billion-1627403545961" TargetMode="External"/><Relationship Id="rId20" Type="http://schemas.openxmlformats.org/officeDocument/2006/relationships/hyperlink" Target="https://www.texaspolicy.com/senate-bill-1336-improving-texass-spending-limi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pitol.texas.gov/BillLookup/History.aspx?LegSess=86R&amp;Bill=HB3" TargetMode="External"/><Relationship Id="rId24" Type="http://schemas.openxmlformats.org/officeDocument/2006/relationships/hyperlink" Target="https://www.texaspolicy.com/keep-texas-texan-path-for-covid-relief-fun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.texaspolicy.com/uploads/2018/08/16104350/2018-01-PP-TexansNeedMoreEdForTheMoney-CEdF-GinnMatthews.pdf" TargetMode="External"/><Relationship Id="rId23" Type="http://schemas.openxmlformats.org/officeDocument/2006/relationships/hyperlink" Target="https://www.texaspolicy.com/lower-taxes-better-texas-eliminate-property-taxes-by-203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exaspolicy.com/2022-23-conservative-texas-budget/" TargetMode="External"/><Relationship Id="rId19" Type="http://schemas.openxmlformats.org/officeDocument/2006/relationships/hyperlink" Target="https://capitol.texas.gov/BillLookup/History.aspx?LegSess=87R&amp;Bill=SB1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bb.texas.gov/Documents/Appropriations_Bills/87/Final/6999_Special_Summary_Appropriations.pdf" TargetMode="External"/><Relationship Id="rId14" Type="http://schemas.openxmlformats.org/officeDocument/2006/relationships/hyperlink" Target="https://capitol.texas.gov/BillLookup/History.aspx?LegSess=872&amp;Bill=SB8" TargetMode="External"/><Relationship Id="rId22" Type="http://schemas.openxmlformats.org/officeDocument/2006/relationships/hyperlink" Target="https://thecannononline.com/policy-wins-lawmakers-cut-taxes-reduced-regulations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ginn@texaspolicy.com" TargetMode="External"/><Relationship Id="rId1" Type="http://schemas.openxmlformats.org/officeDocument/2006/relationships/hyperlink" Target="http://www.TexasPoli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777777777777779E-3"/>
          <c:y val="1.3888888888888888E-2"/>
          <c:w val="0.99444444444444446"/>
          <c:h val="0.8783650722073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'AFApp 04-21'!$A$19</c:f>
              <c:strCache>
                <c:ptCount val="1"/>
                <c:pt idx="0">
                  <c:v>Initial Appropriations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'AFApp 04-21'!$B$18:$C$18</c:f>
              <c:strCache>
                <c:ptCount val="2"/>
                <c:pt idx="0">
                  <c:v>2004-15</c:v>
                </c:pt>
                <c:pt idx="1">
                  <c:v>2016-23</c:v>
                </c:pt>
              </c:strCache>
            </c:strRef>
          </c:cat>
          <c:val>
            <c:numRef>
              <c:f>'AFApp 04-21'!$B$19:$C$19</c:f>
              <c:numCache>
                <c:formatCode>0.0%</c:formatCode>
                <c:ptCount val="2"/>
                <c:pt idx="0">
                  <c:v>0.12043263117008093</c:v>
                </c:pt>
                <c:pt idx="1">
                  <c:v>5.187122600180831E-2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0-4796-9EF4-5409896CD64E}"/>
            </c:ext>
          </c:extLst>
        </c:ser>
        <c:ser>
          <c:idx val="1"/>
          <c:order val="1"/>
          <c:tx>
            <c:strRef>
              <c:f>'AFApp 04-21'!$A$20</c:f>
              <c:strCache>
                <c:ptCount val="1"/>
                <c:pt idx="0">
                  <c:v>Pop+Inf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'AFApp 04-21'!$B$18:$C$18</c:f>
              <c:strCache>
                <c:ptCount val="2"/>
                <c:pt idx="0">
                  <c:v>2004-15</c:v>
                </c:pt>
                <c:pt idx="1">
                  <c:v>2016-23</c:v>
                </c:pt>
              </c:strCache>
            </c:strRef>
          </c:cat>
          <c:val>
            <c:numRef>
              <c:f>'AFApp 04-21'!$B$20:$C$20</c:f>
              <c:numCache>
                <c:formatCode>0.0%</c:formatCode>
                <c:ptCount val="2"/>
                <c:pt idx="0">
                  <c:v>7.3309768237625639E-2</c:v>
                </c:pt>
                <c:pt idx="1">
                  <c:v>6.1949593139545747E-2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D0-4796-9EF4-5409896CD6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9881807"/>
        <c:axId val="805974639"/>
      </c:barChart>
      <c:catAx>
        <c:axId val="919881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05974639"/>
        <c:crosses val="autoZero"/>
        <c:auto val="1"/>
        <c:lblAlgn val="ctr"/>
        <c:lblOffset val="100"/>
        <c:noMultiLvlLbl val="0"/>
      </c:catAx>
      <c:valAx>
        <c:axId val="805974639"/>
        <c:scaling>
          <c:orientation val="minMax"/>
        </c:scaling>
        <c:delete val="1"/>
        <c:axPos val="l"/>
        <c:numFmt formatCode="0%" sourceLinked="0"/>
        <c:majorTickMark val="out"/>
        <c:minorTickMark val="none"/>
        <c:tickLblPos val="nextTo"/>
        <c:crossAx val="919881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26286960125408"/>
          <c:y val="0.11631872938959553"/>
          <c:w val="0.6290381208069814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EAF64-0C16-514B-A87D-49CB0FE5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Vance Ginn</dc:creator>
  <cp:lastModifiedBy>Carine Martinez</cp:lastModifiedBy>
  <cp:revision>2</cp:revision>
  <cp:lastPrinted>2018-12-13T19:36:00Z</cp:lastPrinted>
  <dcterms:created xsi:type="dcterms:W3CDTF">2022-02-08T20:43:00Z</dcterms:created>
  <dcterms:modified xsi:type="dcterms:W3CDTF">2022-02-08T20:43:00Z</dcterms:modified>
</cp:coreProperties>
</file>